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DF130D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《药理学》在线</w:t>
      </w:r>
      <w:r>
        <w:rPr>
          <w:rFonts w:hint="eastAsia"/>
          <w:b/>
          <w:bCs/>
          <w:sz w:val="32"/>
          <w:szCs w:val="40"/>
        </w:rPr>
        <w:t>精品课程建设方案</w:t>
      </w:r>
    </w:p>
    <w:p w14:paraId="1B3BBBEC">
      <w:pPr>
        <w:spacing w:line="360" w:lineRule="auto"/>
        <w:jc w:val="left"/>
        <w:rPr>
          <w:rFonts w:hint="eastAsia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一、课程基本信息</w:t>
      </w:r>
      <w:r>
        <w:rPr>
          <w:rFonts w:hint="eastAsia"/>
          <w:sz w:val="24"/>
          <w:szCs w:val="24"/>
        </w:rPr>
        <w:t xml:space="preserve"> </w:t>
      </w:r>
    </w:p>
    <w:p w14:paraId="4D58057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1. 课程名称：《药理学》</w:t>
      </w:r>
    </w:p>
    <w:p w14:paraId="0AC2A4E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2. 课程类型：专业核心课</w:t>
      </w:r>
    </w:p>
    <w:p w14:paraId="774121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3. 课程适用对象：中职药剂、护理专业</w:t>
      </w:r>
    </w:p>
    <w:p w14:paraId="56CCD35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0" w:firstLineChars="0"/>
        <w:jc w:val="both"/>
        <w:textAlignment w:val="baseline"/>
        <w:rPr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</w:t>
      </w:r>
      <w:r>
        <w:rPr>
          <w:rFonts w:hint="default" w:ascii="Times New Roman" w:hAnsi="Times New Roman" w:eastAsia="仿宋_GB2312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建设目标</w:t>
      </w:r>
    </w:p>
    <w:p w14:paraId="3E58B9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此课程是为建立系统完整、特色鲜明、教学理念先进、教学水平高、具有引领作用的药理学线上精品课程：</w:t>
      </w:r>
    </w:p>
    <w:p w14:paraId="5D9BC90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1、达到“两好两适合”要求：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内容质量好、教学效果好；适合网络传播、适合教学活动。</w:t>
      </w:r>
    </w:p>
    <w:p w14:paraId="24924E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2、具备“能学、辅教”功能。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学习者能利用此在线精品课程，自己制定相应的学习目标，实现系统化、个性化的学习。教师可以利用此在线精品课程，根据自己学生的特点及专业特点，组织教学内容，实施个性化的因材施教。学生在课堂外，可以利用该线上课程巩固学习，利用拓展资源，提升自己的职业能力与素养。</w:t>
      </w:r>
    </w:p>
    <w:p w14:paraId="1CE672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3、课程资源实现“精准、系统、冗余、灵活”互联网教学生态目标。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在现有的线上精品课程资源基础上，辅以虚拟仿真教学，探索出适合线上自学的理论与岗位技能结合的课程。</w:t>
      </w:r>
    </w:p>
    <w:p w14:paraId="5ED7F5A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0" w:firstLineChars="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建设</w:t>
      </w: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方向</w:t>
      </w:r>
    </w:p>
    <w:p w14:paraId="4F31E2DD">
      <w:pPr>
        <w:spacing w:line="360" w:lineRule="auto"/>
        <w:ind w:firstLine="480" w:firstLineChars="200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优化线上课程知识体系，完善相关课程元素。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构建清晰合理的课程内容体系，包括模块一：认识药物；模块二：传出神经系统药的合理应用；模块三：中枢神经系统药的合理应用；模块四：泌尿生殖系统药的合理应用；模块五：心血管系统药的合理应用；模块六：呼吸系统药的合理应用；模块七：消化系统药的合理应用；模块八：内分泌系统药的合理应用；模块九：抗微生物药的合理应用等。同时确保各知识点之间的逻辑连贯性，由浅入深、循序渐进地安排内容，如教学设计、教学实施、过程记录、教学评价等资源建设，将教学内容细化至每个知识点，能够支持线上教学或线上线下混合教学，教师可以根据专业及学生特点的不同，个性化制定教学内容。</w:t>
      </w:r>
    </w:p>
    <w:p w14:paraId="1F6777C9">
      <w:pPr>
        <w:spacing w:line="360" w:lineRule="auto"/>
        <w:ind w:firstLine="480" w:firstLineChars="200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课程考核与评价</w:t>
      </w: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校企合作，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由企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制定相关岗位技能标准，共同研讨教学方法及评价考核方式，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利用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虚拟仿真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软件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，让学生体会岗位所需的知识与技能，有目的地学习。课程内容也是在岗人员必会的知识，建立多元化的考核体系，包括平时作业、课堂表现、阶段性测验、期末考试等；实践课程增加实践项目考核环节。</w:t>
      </w:r>
    </w:p>
    <w:p w14:paraId="65FEF73B">
      <w:pPr>
        <w:spacing w:line="360" w:lineRule="auto"/>
        <w:ind w:firstLine="480" w:firstLineChars="200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评价方式多元化。学生评价：通过问卷调查、学生座谈会等方式收集学生对课程的意见和建议；同行评价：邀请校内外同行教师对课程进行评价，提出改进建议；</w:t>
      </w:r>
    </w:p>
    <w:p w14:paraId="09EAF5ED">
      <w:pPr>
        <w:spacing w:line="360" w:lineRule="auto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自我评价：教师团队定期对课程建设和教学效果进行自我反思和评价。</w:t>
      </w:r>
    </w:p>
    <w:p w14:paraId="2E760F2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课程体系“思政教育”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：利用专题讨论、案例分析、情景模拟等方式，让同学们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初步形成对医药文化、职业价值的认同感，明确多学科交叉融合的科学素养、创新意识及科学家精神对药物研发和生产的促进作用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，提升职业素养。</w:t>
      </w:r>
    </w:p>
    <w:p w14:paraId="0F93F0C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default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虚拟仿真应用：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根据教学的实际需要，设计药品购销虚拟实训场景，为同学们提供多岗位实践能力特训，并且不局限于时间、 地点的限制，推进教学内容、教学方法、教学模式的改革。</w:t>
      </w:r>
    </w:p>
    <w:p w14:paraId="1B0CAFCD">
      <w:pPr>
        <w:spacing w:line="360" w:lineRule="auto"/>
        <w:ind w:firstLine="480" w:firstLineChars="200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5、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“岗课赛证”四位一体融合教学：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将课程与技能竞赛、药品购销1+X考证相结合，制定以行业认证、技能竞赛的能力和素养要求为目标整合教学内容，实现学生“岗课赛证”的相通培养。</w:t>
      </w:r>
    </w:p>
    <w:p w14:paraId="75AE6B4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0" w:firstLineChars="0"/>
        <w:jc w:val="both"/>
        <w:textAlignment w:val="baseline"/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四</w:t>
      </w: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、建设举措</w:t>
      </w:r>
    </w:p>
    <w:p w14:paraId="64C4C81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1、建设团队将在原有线上精品课程的基础上，吸收学生参与课程的建设与优化，按照校企融合、优势互补、分工明确、协作有序的原则对课程进行深度提炼，注重课程思政，提升课程的文化和社会价值。</w:t>
      </w:r>
    </w:p>
    <w:p w14:paraId="1D69923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2、融合超星学习通、智慧职教等资源，改善学习者的体验和教学双方的交流与沟通，利用互联网+，构建《药理学》教学生态圈，力争实现个性化和效率化学习。</w:t>
      </w:r>
    </w:p>
    <w:p w14:paraId="63F8B2C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3、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采用多样化的教学方法，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如讲授法、问题驱动法、小组讨论法、项目式教学法等进行教学，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利用专题讨论、案例分析、情景模拟等方式，构建课程完整的思政体系，提升学生的素养教育。</w:t>
      </w:r>
    </w:p>
    <w:p w14:paraId="52DBE36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0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4、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充分利用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现代教育技术</w:t>
      </w:r>
      <w:r>
        <w:rPr>
          <w:rFonts w:hint="eastAsia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，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利用虚拟仿真技术，将课程与技能竞赛、药品购销技能考证相结合，实现“岗课赛”三位一体的培养模式。</w:t>
      </w:r>
    </w:p>
    <w:p w14:paraId="13809136">
      <w:pPr>
        <w:pStyle w:val="2"/>
        <w:spacing w:line="360" w:lineRule="auto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</w:p>
    <w:p w14:paraId="7E73B8F7">
      <w:pPr>
        <w:spacing w:line="360" w:lineRule="auto"/>
        <w:rPr>
          <w:rFonts w:hint="eastAsia"/>
          <w:sz w:val="24"/>
          <w:szCs w:val="24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五、课程管理与维护</w:t>
      </w:r>
    </w:p>
    <w:p w14:paraId="716FF1D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1. 课程更新</w:t>
      </w: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根据学科发展、行业需求和学生反馈，定期更新课程内容和教学资源，确保课程的时效性。</w:t>
      </w:r>
    </w:p>
    <w:p w14:paraId="43EA9C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2. 教学管理</w:t>
      </w: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制定完善的教学管理制度，规范教师的教学行为、学生的学习行为和课程考核过程。</w:t>
      </w:r>
      <w:bookmarkStart w:id="0" w:name="_GoBack"/>
      <w:bookmarkEnd w:id="0"/>
    </w:p>
    <w:p w14:paraId="313A89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firstLine="482" w:firstLineChars="200"/>
        <w:jc w:val="both"/>
        <w:textAlignment w:val="baseline"/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3. 技术维护</w:t>
      </w:r>
      <w:r>
        <w:rPr>
          <w:rFonts w:hint="eastAsia" w:eastAsia="仿宋_GB2312" w:cs="Times New Roman"/>
          <w:b/>
          <w:bCs w:val="0"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ascii="Times New Roman" w:hAnsi="Times New Roman" w:eastAsia="仿宋_GB2312" w:cs="Times New Roman"/>
          <w:b w:val="0"/>
          <w:bCs/>
          <w:i w:val="0"/>
          <w:caps w:val="0"/>
          <w:spacing w:val="0"/>
          <w:w w:val="100"/>
          <w:kern w:val="2"/>
          <w:sz w:val="24"/>
          <w:szCs w:val="24"/>
          <w:lang w:val="en-US" w:eastAsia="zh-CN" w:bidi="ar-SA"/>
        </w:rPr>
        <w:t>安排专人负责课程平台的技术维护，保障课程的正常运行，及时处理技术问题。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10160E7B"/>
    <w:rsid w:val="09A76BE4"/>
    <w:rsid w:val="10160E7B"/>
    <w:rsid w:val="255B1EFD"/>
    <w:rsid w:val="4BDB7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before="0" w:beforeAutospacing="0" w:after="120" w:afterAutospacing="0"/>
      <w:ind w:left="0" w:firstLine="420" w:firstLineChars="100"/>
    </w:pPr>
    <w:rPr>
      <w:rFonts w:ascii="Times New Roman" w:hAnsi="Times New Roman" w:eastAsia="宋体" w:cs="Times New Roman"/>
      <w:sz w:val="21"/>
      <w:szCs w:val="20"/>
    </w:rPr>
  </w:style>
  <w:style w:type="paragraph" w:styleId="3">
    <w:name w:val="Body Text"/>
    <w:basedOn w:val="1"/>
    <w:qFormat/>
    <w:uiPriority w:val="0"/>
    <w:pPr>
      <w:ind w:left="151"/>
    </w:pPr>
    <w:rPr>
      <w:rFonts w:ascii="宋体" w:hAnsi="宋体" w:eastAsia="宋体" w:cs="宋体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2078</Words>
  <Characters>2103</Characters>
  <Lines>0</Lines>
  <Paragraphs>0</Paragraphs>
  <TotalTime>12</TotalTime>
  <ScaleCrop>false</ScaleCrop>
  <LinksUpToDate>false</LinksUpToDate>
  <CharactersWithSpaces>2153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2024-11-16T03:11:00Z</dcterms:created>
  <dc:creator>全娜</dc:creator>
  <cp:lastModifiedBy>全娜</cp:lastModifiedBy>
  <dcterms:modified xsi:type="dcterms:W3CDTF">2024-11-16T06:38:53Z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3E24302B76654CCB8508DCD387BBB000_13</vt:lpwstr>
  </property>
</Properties>
</file>