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cs="宋体"/>
          <w:kern w:val="0"/>
          <w:sz w:val="32"/>
          <w:szCs w:val="32"/>
          <w:lang w:val="en-US" w:eastAsia="zh-CN"/>
        </w:rPr>
      </w:pPr>
      <w:bookmarkStart w:id="0" w:name="_Toc49508359"/>
      <w:bookmarkStart w:id="1" w:name="_Toc42923379"/>
      <w:bookmarkStart w:id="2" w:name="_Toc478813590"/>
      <w:r>
        <w:rPr>
          <w:rFonts w:hint="eastAsia" w:eastAsia="宋体" w:cs="宋体"/>
          <w:kern w:val="0"/>
          <w:sz w:val="32"/>
          <w:szCs w:val="32"/>
          <w:lang w:val="en-US" w:eastAsia="zh-CN"/>
        </w:rPr>
        <w:t>珠海市卫生学校2024年中心机房气体灭火系统采购项目</w:t>
      </w:r>
    </w:p>
    <w:p>
      <w:pPr>
        <w:jc w:val="center"/>
        <w:rPr>
          <w:rFonts w:hint="eastAsia" w:ascii="宋体" w:hAnsi="宋体" w:eastAsia="宋体" w:cs="宋体"/>
          <w:kern w:val="0"/>
          <w:sz w:val="32"/>
          <w:szCs w:val="32"/>
          <w:lang w:eastAsia="zh-CN"/>
        </w:rPr>
      </w:pPr>
      <w:r>
        <w:rPr>
          <w:rFonts w:hint="eastAsia" w:eastAsia="宋体" w:cs="宋体"/>
          <w:kern w:val="0"/>
          <w:sz w:val="32"/>
          <w:szCs w:val="32"/>
          <w:lang w:val="en-US" w:eastAsia="zh-CN"/>
        </w:rPr>
        <w:t>内容</w:t>
      </w:r>
      <w:r>
        <w:rPr>
          <w:rFonts w:hint="eastAsia" w:ascii="宋体" w:hAnsi="宋体" w:eastAsia="宋体" w:cs="宋体"/>
          <w:kern w:val="0"/>
          <w:sz w:val="32"/>
          <w:szCs w:val="32"/>
        </w:rPr>
        <w:t>和</w:t>
      </w:r>
      <w:r>
        <w:rPr>
          <w:rFonts w:hint="eastAsia" w:eastAsia="宋体" w:cs="宋体"/>
          <w:kern w:val="0"/>
          <w:sz w:val="32"/>
          <w:szCs w:val="32"/>
          <w:lang w:val="en-US" w:eastAsia="zh-CN"/>
        </w:rPr>
        <w:t>要求</w:t>
      </w:r>
    </w:p>
    <w:p>
      <w:pPr>
        <w:widowControl w:val="0"/>
        <w:numPr>
          <w:ilvl w:val="0"/>
          <w:numId w:val="0"/>
        </w:numPr>
        <w:spacing w:line="360" w:lineRule="auto"/>
        <w:jc w:val="both"/>
        <w:outlineLvl w:val="1"/>
        <w:rPr>
          <w:rFonts w:hint="eastAsia" w:eastAsia="宋体" w:cs="Times New Roman"/>
          <w:sz w:val="21"/>
          <w:szCs w:val="24"/>
          <w:lang w:val="en-US" w:eastAsia="zh-CN" w:bidi="ar"/>
        </w:rPr>
      </w:pPr>
    </w:p>
    <w:p>
      <w:pPr>
        <w:widowControl w:val="0"/>
        <w:spacing w:line="360" w:lineRule="auto"/>
        <w:ind w:firstLine="512" w:firstLineChars="200"/>
        <w:jc w:val="both"/>
        <w:outlineLvl w:val="1"/>
        <w:rPr>
          <w:rFonts w:hint="eastAsia" w:ascii="Helvetica" w:hAnsi="Helvetica" w:eastAsia="Helvetica" w:cs="Helvetica"/>
          <w:color w:val="060607"/>
          <w:spacing w:val="8"/>
          <w:sz w:val="24"/>
          <w:szCs w:val="24"/>
          <w:shd w:val="clear" w:color="auto" w:fill="FFFFFF"/>
        </w:rPr>
      </w:pPr>
      <w:r>
        <w:rPr>
          <w:rFonts w:hint="eastAsia" w:ascii="Helvetica" w:hAnsi="Helvetica" w:cs="Helvetica"/>
          <w:color w:val="060607"/>
          <w:spacing w:val="8"/>
          <w:sz w:val="24"/>
          <w:szCs w:val="24"/>
          <w:shd w:val="clear" w:color="auto" w:fill="FFFFFF"/>
          <w:lang w:val="en-US" w:eastAsia="zh-CN"/>
        </w:rPr>
        <w:t>本单位</w:t>
      </w:r>
      <w:r>
        <w:rPr>
          <w:rFonts w:hint="eastAsia" w:ascii="Helvetica" w:hAnsi="Helvetica" w:eastAsia="Helvetica" w:cs="Helvetica"/>
          <w:color w:val="060607"/>
          <w:spacing w:val="8"/>
          <w:sz w:val="24"/>
          <w:szCs w:val="24"/>
          <w:shd w:val="clear" w:color="auto" w:fill="FFFFFF"/>
        </w:rPr>
        <w:t>中心机房作为校园信息处理和数据存储的核心区域，其安全稳定性对于整个</w:t>
      </w:r>
      <w:r>
        <w:rPr>
          <w:rFonts w:hint="eastAsia" w:ascii="Helvetica" w:hAnsi="Helvetica" w:cs="Helvetica"/>
          <w:color w:val="060607"/>
          <w:spacing w:val="8"/>
          <w:sz w:val="24"/>
          <w:szCs w:val="24"/>
          <w:shd w:val="clear" w:color="auto" w:fill="FFFFFF"/>
        </w:rPr>
        <w:t>学校教育教学</w:t>
      </w:r>
      <w:r>
        <w:rPr>
          <w:rFonts w:hint="eastAsia" w:ascii="Helvetica" w:hAnsi="Helvetica" w:eastAsia="Helvetica" w:cs="Helvetica"/>
          <w:color w:val="060607"/>
          <w:spacing w:val="8"/>
          <w:sz w:val="24"/>
          <w:szCs w:val="24"/>
          <w:shd w:val="clear" w:color="auto" w:fill="FFFFFF"/>
        </w:rPr>
        <w:t>的运行至关重要</w:t>
      </w:r>
      <w:r>
        <w:rPr>
          <w:rFonts w:hint="eastAsia" w:ascii="Helvetica" w:hAnsi="Helvetica" w:cs="Helvetica"/>
          <w:color w:val="060607"/>
          <w:spacing w:val="8"/>
          <w:sz w:val="24"/>
          <w:szCs w:val="24"/>
          <w:shd w:val="clear" w:color="auto" w:fill="FFFFFF"/>
          <w:lang w:eastAsia="zh-CN"/>
        </w:rPr>
        <w:t>，</w:t>
      </w:r>
      <w:r>
        <w:rPr>
          <w:rFonts w:ascii="Helvetica" w:hAnsi="Helvetica" w:eastAsia="Helvetica" w:cs="Helvetica"/>
          <w:color w:val="060607"/>
          <w:spacing w:val="8"/>
          <w:sz w:val="24"/>
          <w:szCs w:val="24"/>
          <w:shd w:val="clear" w:color="auto" w:fill="FFFFFF"/>
        </w:rPr>
        <w:t>传统的灭火方式，可能会对电子设备造成二次损害。</w:t>
      </w:r>
      <w:r>
        <w:rPr>
          <w:rFonts w:hint="eastAsia" w:ascii="Helvetica" w:hAnsi="Helvetica" w:cs="Helvetica"/>
          <w:color w:val="060607"/>
          <w:spacing w:val="8"/>
          <w:sz w:val="24"/>
          <w:szCs w:val="24"/>
          <w:shd w:val="clear" w:color="auto" w:fill="FFFFFF"/>
          <w:lang w:val="en-US" w:eastAsia="zh-CN"/>
        </w:rPr>
        <w:t>现需采购</w:t>
      </w:r>
      <w:r>
        <w:rPr>
          <w:rFonts w:ascii="Helvetica" w:hAnsi="Helvetica" w:eastAsia="Helvetica" w:cs="Helvetica"/>
          <w:color w:val="060607"/>
          <w:spacing w:val="8"/>
          <w:sz w:val="24"/>
          <w:szCs w:val="24"/>
          <w:shd w:val="clear" w:color="auto" w:fill="FFFFFF"/>
        </w:rPr>
        <w:t>气体灭火系统，可以在不损害设备的情况下迅速扑灭火灾，保障数据安全和业务连续性。</w:t>
      </w:r>
    </w:p>
    <w:p>
      <w:pPr>
        <w:widowControl w:val="0"/>
        <w:numPr>
          <w:ilvl w:val="0"/>
          <w:numId w:val="0"/>
        </w:numPr>
        <w:spacing w:line="360" w:lineRule="auto"/>
        <w:jc w:val="both"/>
        <w:outlineLvl w:val="1"/>
        <w:rPr>
          <w:rFonts w:hint="eastAsia" w:eastAsia="宋体" w:cs="Times New Roman"/>
          <w:sz w:val="24"/>
          <w:szCs w:val="24"/>
          <w:lang w:val="en-US" w:eastAsia="zh-CN" w:bidi="ar"/>
        </w:rPr>
      </w:pPr>
    </w:p>
    <w:p>
      <w:pPr>
        <w:widowControl w:val="0"/>
        <w:numPr>
          <w:ilvl w:val="0"/>
          <w:numId w:val="4"/>
        </w:numPr>
        <w:spacing w:line="360" w:lineRule="auto"/>
        <w:jc w:val="both"/>
        <w:outlineLvl w:val="1"/>
        <w:rPr>
          <w:rFonts w:hint="eastAsia" w:ascii="宋体" w:hAnsi="宋体" w:eastAsia="宋体" w:cs="Times New Roman"/>
          <w:sz w:val="24"/>
          <w:szCs w:val="24"/>
          <w:lang w:val="en-US" w:eastAsia="zh-CN" w:bidi="ar"/>
        </w:rPr>
      </w:pPr>
      <w:r>
        <w:rPr>
          <w:rFonts w:hint="eastAsia" w:ascii="宋体" w:hAnsi="宋体" w:eastAsia="宋体" w:cs="Times New Roman"/>
          <w:sz w:val="24"/>
          <w:szCs w:val="24"/>
          <w:lang w:val="en-US" w:eastAsia="zh-CN" w:bidi="ar"/>
        </w:rPr>
        <w:t>货物技术服务要求</w:t>
      </w:r>
    </w:p>
    <w:tbl>
      <w:tblPr>
        <w:tblStyle w:val="46"/>
        <w:tblW w:w="93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8"/>
        <w:gridCol w:w="1751"/>
        <w:gridCol w:w="1155"/>
        <w:gridCol w:w="525"/>
        <w:gridCol w:w="555"/>
        <w:gridCol w:w="4035"/>
        <w:gridCol w:w="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4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气体自动报警系统</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4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气体灭火控制装置(壁挂式，含备用电池)</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电源：交流电源：额定工作电压～220V（187V～242V）</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联动：24V：3路，每路1A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备用电源：12V/12AH ≥2节</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使用环境：温度 0℃～+42℃，相对湿度：≤95%，不凝露</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容量：回路数：≥2个 每回路的部件数:≥242点 气体分区：≥2区 每区≥128点</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具备液晶显示功能</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编码光电感烟火灾探测器</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 DC24V（15V~28V）</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 总线静态电流：≤0.3mA，总线报警电流：≤0.7mA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 二线制总线（无极性）</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 电子编码</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指示灯： 巡检时周期性闪烁，火警时常亮，故障时有LED指示</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使用环境：温度-10℃～50℃，相对湿度≤95%RH，不凝露</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编码感温火灾探测器</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工作电压：DC24V(15~28V)</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工作电流：总线静态电流≤0.35mA，总线报警电流≤0.55mA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使用环境：-10℃~+50℃</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相对湿度：≤95%RH，不凝露</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线制：二线制总线（无极性）</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编码方式：电子编码</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有探测器状态指示</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通用底座</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配套配接相应火灾探测器、声光报警器等</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编码型声光报警器</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工作电压：DC24V（15V～28V）</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工作电流：总线监视电流 ≤0.4mA，总线启动电流 ≤3mA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声压级：启动后声音由小变大，稳定后正前方3米处75dB～105dB</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变调周期：2.5S～4.5S</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闪光频率：1.0Hz~1.8Hz</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编码方式：电子编码，占一个总线地址点，编码范围在1~242之间任意设定</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线制：无极性二总线</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使用环境：温度0℃～+55℃，相对湿度≤95%RH，不凝露</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壳体颜色：红色</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紧急启停按钮</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工作电压：DC24V（15V～28V）</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工作电流：监视电流 ≤1.5mA，动作电流 ≤2mA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启动方式：人工</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停止方式：人工</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转换模式方式：人工，1秒钟后转换</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指示灯：包括工作状态灯，启动和停止状态灯，以及手动和自动状态灯</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线制：无极性二总线连接</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编码方式：电子编码，每个紧急启停按钮占用一个地址</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使用环境：室内，温度-10℃～50℃，相对湿度≤95%RH，不凝露</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启动零件可重复使用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放气指示灯</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工作电压：15～28V（脉冲电压）</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电源电压：DC24V(20V～28V)</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工作电流：总线静态电流 ≤0.5mA，总线动作电流 ≤1.0mA，电源监视电流 ≤1.0mA，电源动作电流 ≤16.0mA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编码方式：电子编码</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线制：四线制，与气体灭火控制装置的总线和联动电源分别二线无极性连接</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闪光频率：1Hz~2Hz。</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表面亮度：50cd/㎡～300cd/㎡。</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点亮/非点亮比：&gt;3:2。</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使用环境：温度-10℃～+50℃，相对湿度≤95%RH，不凝露。</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输入模块</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工作电压：总线电压15～28V（脉冲电压）。</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工作电流：总线监视电流 ≤0.4mA，总线动作电流 ≤1.0mA。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指示灯：输入指示灯，正常监视状态闪亮指示（A)，故障状态闪亮指示（B)，动作状态常亮</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编码方式：电子编码</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终端电阻：10KΩ。</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线制：无极性二总线连接</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使用环境：温度-10℃～55℃，相对湿度≤95%RH，不凝露</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输入/输出模块</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工作电压：总线电压：15～28V（脉冲电压）</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工作电流：总线监视电流：≤0.5mA总线动作电流：≤2mA</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指示灯：正常监视状态闪亮，故障状态闪亮，反馈状态常亮</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输出指示灯：红色（动作状态常亮）</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编码方式：电子编码</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终端电阻：10KΩ</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输出容量：DC32V/1.5A/30ms</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线制：无极性二总线</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使用环境：温度：-10℃～55℃，相对湿度：≤95%RH，不凝露</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信号线</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2*1.5mm</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执行标准：GB/T 19666/Q/ZJDX66-2019-2019   额定电压450/750V</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二、</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七氟丙烷气体灭火装置</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柜式七氟丙烷气体灭火装置</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1、工作温度范围：0℃-50℃</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2、贮存压力：2.5Mpa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3、最大工作压力：4.2Mpa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4、泄压装置动作压力：5.9±0.29Mpa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5、启动方式：电磁启动</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6、外形尺寸：522*475*1875mm</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7、喷射时间：≤10S。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七氟丙烷药剂</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Kg</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1、纯度/%(m/m)≥ 99.6%，实验结果99.9%</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2、水份/%（m/m）≤10x10-4</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3、酸度/%(m/m)≤1x10-4</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4、蒸发残留物/﹪（m/m）≤0.01</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5、悬浮物或沉淀物：无混浊或沉淀物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自动泄压装置</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1、工作温度范围：-25℃~55℃</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2、开启压力：1026pa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3、开启时间：1s</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4、关闭压力：779pa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5、关闭时间：1s</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6、泄压面积：0.12m²</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7、启动方式：机械式</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8、墙体开孔预留尺寸：415*410mm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柜式七氟丙烷气体灭火装置</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1、工作温度范围：0℃-50℃</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2、贮存压力：2.5Mpa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3、最大工作压力：4.2Mpa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4、泄压装置动作压力：5.9±0.29Mpa</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5、启动方式：电磁启动</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6、外形尺寸：422*375*1250mm</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7、喷射时间：≤10S。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七氟丙烷药剂</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Kg</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1、纯度/%(m/m)≥ 99.6%，实验结果99.9%</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2、水份/%（m/m）≤10x10-4</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3、酸度/%(m/m)≤1x10-4</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4、蒸发残留物/﹪（m/m）≤0.01</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5、悬浮物或沉淀物：无混浊或沉淀物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自动泄压装置安装人工费（含开墙洞及修复）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55"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厂家安装调试费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555"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三、</w:t>
            </w:r>
          </w:p>
        </w:tc>
        <w:tc>
          <w:tcPr>
            <w:tcW w:w="1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防火卷帘门及防火门</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035"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钢质防火卷帘门</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3200mm*3000mm</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403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符合以下标准：GB14102-2005(防火卷帘）、CNCA-C18-02:2014(强制性产品认证实施规则火灾防护产品）、CCCF-HZFH-02(强制性产品认证实施细则火灾防护产品建筑耐火构件产品）；耐火性能：F3≥3.00h</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钢质防火卷帘门</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2600mm*3000mm</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403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钢质防火卷帘门</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2000mm*3000mm</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03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卷帘门电机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3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功率：250W;额定工作电压、功率：AC380V/50HZ;</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输出扭矩≥420N*m,最大升高≥6m</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电源线</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2.5mm</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执行标准：GB/T 19666-2019/GB/T5023.3-2008额定电压450/750V</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51"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镀锌线管（含安装人工费费）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0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6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5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信号线</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2*1.5mm</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执行标准：GB/T 19666/Q/ZJDX66-2019-2019   额定电压450/750V</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甲级防火门</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2240mm*980mm</w:t>
            </w:r>
          </w:p>
        </w:tc>
        <w:tc>
          <w:tcPr>
            <w:tcW w:w="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GFW-1022-dk5 A1.50(甲级）-1；耐火隔热、耐火完整性A1.50(甲级）≥1.50h;</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widowControl w:val="0"/>
        <w:numPr>
          <w:ilvl w:val="0"/>
          <w:numId w:val="0"/>
        </w:numPr>
        <w:spacing w:line="360" w:lineRule="auto"/>
        <w:jc w:val="both"/>
        <w:outlineLvl w:val="1"/>
        <w:rPr>
          <w:rFonts w:hint="eastAsia" w:ascii="宋体" w:hAnsi="宋体" w:eastAsia="宋体" w:cs="宋体"/>
          <w:i w:val="0"/>
          <w:iCs w:val="0"/>
          <w:color w:val="000000"/>
          <w:kern w:val="0"/>
          <w:sz w:val="22"/>
          <w:szCs w:val="22"/>
          <w:u w:val="none"/>
          <w:lang w:val="en-US" w:eastAsia="zh-CN" w:bidi="ar"/>
        </w:rPr>
      </w:pPr>
    </w:p>
    <w:p>
      <w:pPr>
        <w:pStyle w:val="44"/>
        <w:spacing w:after="0" w:line="360" w:lineRule="auto"/>
        <w:ind w:firstLineChars="200"/>
        <w:rPr>
          <w:rFonts w:hint="eastAsia" w:ascii="宋体" w:hAnsi="宋体"/>
          <w:sz w:val="24"/>
          <w:szCs w:val="24"/>
          <w:lang w:bidi="ar"/>
        </w:rPr>
      </w:pPr>
      <w:r>
        <w:rPr>
          <w:rFonts w:hint="eastAsia" w:ascii="宋体" w:hAnsi="宋体" w:eastAsia="宋体" w:cs="宋体"/>
          <w:b/>
          <w:bCs/>
          <w:i w:val="0"/>
          <w:iCs w:val="0"/>
          <w:color w:val="000000"/>
          <w:kern w:val="0"/>
          <w:sz w:val="24"/>
          <w:szCs w:val="24"/>
          <w:u w:val="none"/>
          <w:lang w:val="en-US" w:eastAsia="zh-CN" w:bidi="ar"/>
        </w:rPr>
        <w:t>注：</w:t>
      </w:r>
      <w:r>
        <w:rPr>
          <w:rFonts w:hint="eastAsia" w:ascii="宋体" w:hAnsi="宋体"/>
          <w:sz w:val="24"/>
          <w:szCs w:val="24"/>
          <w:lang w:val="en-US" w:eastAsia="zh-CN" w:bidi="ar"/>
        </w:rPr>
        <w:t>投标人</w:t>
      </w:r>
      <w:r>
        <w:rPr>
          <w:rFonts w:hint="eastAsia" w:ascii="宋体" w:hAnsi="宋体"/>
          <w:sz w:val="24"/>
          <w:szCs w:val="24"/>
          <w:lang w:bidi="ar"/>
        </w:rPr>
        <w:t>在</w:t>
      </w:r>
      <w:r>
        <w:rPr>
          <w:rFonts w:hint="eastAsia" w:ascii="宋体" w:hAnsi="宋体"/>
          <w:sz w:val="24"/>
          <w:szCs w:val="24"/>
          <w:lang w:val="en-US" w:eastAsia="zh-CN" w:bidi="ar"/>
        </w:rPr>
        <w:t>报价表</w:t>
      </w:r>
      <w:r>
        <w:rPr>
          <w:rFonts w:hint="eastAsia" w:ascii="宋体" w:hAnsi="宋体"/>
          <w:sz w:val="24"/>
          <w:szCs w:val="24"/>
          <w:lang w:bidi="ar"/>
        </w:rPr>
        <w:t>中需注明所用主要材料的品牌、型号等质量参数。</w:t>
      </w:r>
    </w:p>
    <w:p>
      <w:pPr>
        <w:widowControl w:val="0"/>
        <w:numPr>
          <w:ilvl w:val="0"/>
          <w:numId w:val="0"/>
        </w:numPr>
        <w:spacing w:line="360" w:lineRule="auto"/>
        <w:jc w:val="both"/>
        <w:outlineLvl w:val="1"/>
        <w:rPr>
          <w:rFonts w:hint="eastAsia" w:ascii="宋体" w:hAnsi="宋体" w:eastAsia="宋体" w:cs="宋体"/>
          <w:i w:val="0"/>
          <w:iCs w:val="0"/>
          <w:color w:val="000000"/>
          <w:kern w:val="0"/>
          <w:sz w:val="24"/>
          <w:szCs w:val="24"/>
          <w:u w:val="none"/>
          <w:lang w:val="en-US" w:eastAsia="zh-CN" w:bidi="ar"/>
        </w:rPr>
      </w:pPr>
    </w:p>
    <w:p>
      <w:pPr>
        <w:widowControl w:val="0"/>
        <w:numPr>
          <w:ilvl w:val="0"/>
          <w:numId w:val="0"/>
        </w:numPr>
        <w:spacing w:line="360" w:lineRule="auto"/>
        <w:jc w:val="both"/>
        <w:outlineLvl w:val="1"/>
        <w:rPr>
          <w:rFonts w:hint="eastAsia" w:eastAsia="宋体" w:cs="Times New Roman"/>
          <w:b/>
          <w:bCs/>
          <w:kern w:val="2"/>
          <w:sz w:val="24"/>
          <w:szCs w:val="24"/>
          <w:lang w:val="en-US" w:eastAsia="zh-CN" w:bidi="ar"/>
        </w:rPr>
      </w:pPr>
      <w:r>
        <w:rPr>
          <w:rFonts w:hint="eastAsia" w:cs="Times New Roman"/>
          <w:b/>
          <w:bCs/>
          <w:kern w:val="2"/>
          <w:sz w:val="24"/>
          <w:szCs w:val="24"/>
          <w:lang w:val="en-US" w:eastAsia="zh-CN" w:bidi="ar"/>
        </w:rPr>
        <w:t>三、商务</w:t>
      </w:r>
      <w:r>
        <w:rPr>
          <w:rFonts w:cs="Times New Roman"/>
          <w:b/>
          <w:bCs/>
          <w:kern w:val="2"/>
          <w:sz w:val="24"/>
          <w:szCs w:val="24"/>
          <w:lang w:bidi="ar"/>
        </w:rPr>
        <w:t>要求</w:t>
      </w:r>
      <w:r>
        <w:rPr>
          <w:rFonts w:hint="eastAsia" w:cs="Times New Roman"/>
          <w:b/>
          <w:bCs/>
          <w:kern w:val="2"/>
          <w:sz w:val="24"/>
          <w:szCs w:val="24"/>
          <w:lang w:val="en-US" w:eastAsia="zh-CN" w:bidi="ar"/>
        </w:rPr>
        <w:t>:</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1.</w:t>
      </w:r>
      <w:r>
        <w:rPr>
          <w:rFonts w:hint="eastAsia" w:ascii="宋体" w:hAnsi="宋体"/>
          <w:sz w:val="24"/>
          <w:szCs w:val="24"/>
          <w:lang w:val="en-US" w:eastAsia="zh-CN" w:bidi="ar"/>
        </w:rPr>
        <w:t>安装</w:t>
      </w:r>
      <w:r>
        <w:rPr>
          <w:rFonts w:hint="eastAsia" w:ascii="宋体" w:hAnsi="宋体"/>
          <w:sz w:val="24"/>
          <w:szCs w:val="24"/>
          <w:lang w:bidi="ar"/>
        </w:rPr>
        <w:t>工期：</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1.1本项目施工安装15天</w:t>
      </w:r>
      <w:r>
        <w:rPr>
          <w:rFonts w:ascii="宋体" w:hAnsi="宋体"/>
          <w:sz w:val="24"/>
          <w:szCs w:val="24"/>
          <w:lang w:bidi="ar"/>
        </w:rPr>
        <w:t>内完成</w:t>
      </w:r>
      <w:r>
        <w:rPr>
          <w:rFonts w:hint="eastAsia" w:ascii="宋体" w:hAnsi="宋体"/>
          <w:sz w:val="24"/>
          <w:szCs w:val="24"/>
          <w:lang w:bidi="ar"/>
        </w:rPr>
        <w:t>。</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1.2如因大雨、台风天等气候或非</w:t>
      </w:r>
      <w:r>
        <w:rPr>
          <w:rFonts w:hint="eastAsia" w:ascii="宋体" w:hAnsi="宋体"/>
          <w:sz w:val="24"/>
          <w:szCs w:val="24"/>
          <w:lang w:val="en-US" w:eastAsia="zh-CN" w:bidi="ar"/>
        </w:rPr>
        <w:t>中标人</w:t>
      </w:r>
      <w:r>
        <w:rPr>
          <w:rFonts w:hint="eastAsia" w:ascii="宋体" w:hAnsi="宋体"/>
          <w:sz w:val="24"/>
          <w:szCs w:val="24"/>
          <w:lang w:bidi="ar"/>
        </w:rPr>
        <w:t>原因等其它不可抗拒因素和</w:t>
      </w:r>
      <w:r>
        <w:rPr>
          <w:rFonts w:hint="eastAsia" w:ascii="宋体" w:hAnsi="宋体"/>
          <w:sz w:val="24"/>
          <w:szCs w:val="24"/>
          <w:lang w:val="en-US" w:eastAsia="zh-CN" w:bidi="ar"/>
        </w:rPr>
        <w:t>采购人</w:t>
      </w:r>
      <w:r>
        <w:rPr>
          <w:rFonts w:hint="eastAsia" w:ascii="宋体" w:hAnsi="宋体"/>
          <w:sz w:val="24"/>
          <w:szCs w:val="24"/>
          <w:lang w:bidi="ar"/>
        </w:rPr>
        <w:t>认可的其它情况造成工程延误，经</w:t>
      </w:r>
      <w:r>
        <w:rPr>
          <w:rFonts w:hint="eastAsia" w:ascii="宋体" w:hAnsi="宋体"/>
          <w:sz w:val="24"/>
          <w:szCs w:val="24"/>
          <w:lang w:val="en-US" w:eastAsia="zh-CN" w:bidi="ar"/>
        </w:rPr>
        <w:t>采购人</w:t>
      </w:r>
      <w:r>
        <w:rPr>
          <w:rFonts w:hint="eastAsia" w:ascii="宋体" w:hAnsi="宋体"/>
          <w:sz w:val="24"/>
          <w:szCs w:val="24"/>
          <w:lang w:bidi="ar"/>
        </w:rPr>
        <w:t>批准后顺延工期。</w:t>
      </w:r>
    </w:p>
    <w:p>
      <w:pPr>
        <w:pStyle w:val="44"/>
        <w:spacing w:after="0" w:line="360" w:lineRule="auto"/>
        <w:ind w:firstLineChars="200"/>
        <w:rPr>
          <w:rFonts w:ascii="宋体" w:hAnsi="宋体"/>
          <w:sz w:val="24"/>
          <w:szCs w:val="24"/>
          <w:lang w:bidi="ar"/>
        </w:rPr>
      </w:pPr>
      <w:r>
        <w:rPr>
          <w:rFonts w:hint="eastAsia" w:ascii="宋体" w:hAnsi="宋体"/>
          <w:sz w:val="24"/>
          <w:szCs w:val="24"/>
          <w:lang w:bidi="ar"/>
        </w:rPr>
        <w:t>1.3</w:t>
      </w:r>
      <w:r>
        <w:rPr>
          <w:rFonts w:hint="eastAsia" w:ascii="宋体" w:hAnsi="宋体"/>
          <w:sz w:val="24"/>
          <w:szCs w:val="24"/>
          <w:lang w:val="en-US" w:eastAsia="zh-CN" w:bidi="ar"/>
        </w:rPr>
        <w:t>中标人</w:t>
      </w:r>
      <w:r>
        <w:rPr>
          <w:rFonts w:hint="eastAsia" w:ascii="宋体" w:hAnsi="宋体"/>
          <w:sz w:val="24"/>
          <w:szCs w:val="24"/>
          <w:lang w:bidi="ar"/>
        </w:rPr>
        <w:t>自身原因未能按时进场的，不影响</w:t>
      </w:r>
      <w:r>
        <w:rPr>
          <w:rFonts w:hint="eastAsia" w:ascii="宋体" w:hAnsi="宋体"/>
          <w:sz w:val="24"/>
          <w:szCs w:val="24"/>
          <w:lang w:val="en-US" w:eastAsia="zh-CN" w:bidi="ar"/>
        </w:rPr>
        <w:t>采购人</w:t>
      </w:r>
      <w:r>
        <w:rPr>
          <w:rFonts w:hint="eastAsia" w:ascii="宋体" w:hAnsi="宋体"/>
          <w:sz w:val="24"/>
          <w:szCs w:val="24"/>
          <w:lang w:bidi="ar"/>
        </w:rPr>
        <w:t>关于本工程开工日期起算的规定。</w:t>
      </w:r>
    </w:p>
    <w:p>
      <w:pPr>
        <w:pStyle w:val="44"/>
        <w:spacing w:after="0" w:line="360" w:lineRule="auto"/>
        <w:ind w:firstLineChars="200"/>
        <w:rPr>
          <w:rFonts w:hint="default" w:ascii="宋体" w:hAnsi="宋体"/>
          <w:sz w:val="24"/>
          <w:szCs w:val="24"/>
          <w:lang w:val="en-US" w:eastAsia="zh-CN" w:bidi="ar"/>
        </w:rPr>
      </w:pPr>
      <w:r>
        <w:rPr>
          <w:rFonts w:hint="eastAsia" w:ascii="宋体" w:hAnsi="宋体"/>
          <w:sz w:val="24"/>
          <w:szCs w:val="24"/>
          <w:lang w:val="en-US" w:eastAsia="zh-CN" w:bidi="ar"/>
        </w:rPr>
        <w:t>2.其他要求：</w:t>
      </w:r>
    </w:p>
    <w:p>
      <w:pPr>
        <w:pStyle w:val="44"/>
        <w:spacing w:after="0" w:line="360" w:lineRule="auto"/>
        <w:ind w:firstLineChars="200"/>
        <w:rPr>
          <w:rFonts w:hint="eastAsia" w:ascii="宋体" w:hAnsi="宋体"/>
          <w:sz w:val="24"/>
          <w:szCs w:val="24"/>
          <w:lang w:val="en-US" w:eastAsia="zh-CN" w:bidi="ar"/>
        </w:rPr>
      </w:pPr>
      <w:r>
        <w:rPr>
          <w:rFonts w:hint="eastAsia" w:ascii="宋体" w:hAnsi="宋体"/>
          <w:sz w:val="24"/>
          <w:szCs w:val="24"/>
          <w:lang w:val="en-US" w:eastAsia="zh-CN" w:bidi="ar"/>
        </w:rPr>
        <w:t>2.1投标人必须持有消防专业承包三级或以上资质证书。</w:t>
      </w:r>
    </w:p>
    <w:p>
      <w:pPr>
        <w:pStyle w:val="44"/>
        <w:spacing w:after="0" w:line="360" w:lineRule="auto"/>
        <w:ind w:firstLineChars="200"/>
        <w:rPr>
          <w:rFonts w:hint="eastAsia" w:ascii="宋体" w:hAnsi="宋体"/>
          <w:sz w:val="24"/>
          <w:szCs w:val="24"/>
          <w:lang w:val="en-US" w:eastAsia="zh-CN" w:bidi="ar"/>
        </w:rPr>
      </w:pPr>
      <w:r>
        <w:rPr>
          <w:rFonts w:hint="eastAsia" w:ascii="宋体" w:hAnsi="宋体"/>
          <w:sz w:val="24"/>
          <w:szCs w:val="24"/>
          <w:lang w:val="en-US" w:eastAsia="zh-CN" w:bidi="ar"/>
        </w:rPr>
        <w:t>2.2投标人应提供至少三名工程师的资格证书。</w:t>
      </w:r>
    </w:p>
    <w:p>
      <w:pPr>
        <w:pStyle w:val="44"/>
        <w:spacing w:after="0" w:line="360" w:lineRule="auto"/>
        <w:ind w:firstLineChars="200"/>
        <w:rPr>
          <w:rFonts w:hint="eastAsia" w:ascii="宋体" w:hAnsi="宋体"/>
          <w:sz w:val="24"/>
          <w:szCs w:val="24"/>
          <w:lang w:val="en-US" w:eastAsia="zh-CN" w:bidi="ar"/>
        </w:rPr>
      </w:pPr>
      <w:r>
        <w:rPr>
          <w:rFonts w:hint="eastAsia" w:ascii="宋体" w:hAnsi="宋体"/>
          <w:sz w:val="24"/>
          <w:szCs w:val="24"/>
          <w:lang w:val="en-US" w:eastAsia="zh-CN" w:bidi="ar"/>
        </w:rPr>
        <w:t>2.3投标人需提供近五年内成功完成至少一个类似规模的气体灭火系统安装调试项目的案例，包括项目名称、地点、规模和完成时间。</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3</w:t>
      </w:r>
      <w:r>
        <w:rPr>
          <w:rFonts w:ascii="宋体" w:hAnsi="宋体"/>
          <w:sz w:val="24"/>
          <w:szCs w:val="24"/>
          <w:lang w:bidi="ar"/>
        </w:rPr>
        <w:t>.</w:t>
      </w:r>
      <w:r>
        <w:rPr>
          <w:rFonts w:hint="eastAsia" w:ascii="宋体" w:hAnsi="宋体"/>
          <w:sz w:val="24"/>
          <w:szCs w:val="24"/>
          <w:lang w:bidi="ar"/>
        </w:rPr>
        <w:t>到</w:t>
      </w:r>
      <w:r>
        <w:rPr>
          <w:rFonts w:ascii="宋体" w:hAnsi="宋体"/>
          <w:sz w:val="24"/>
          <w:szCs w:val="24"/>
          <w:lang w:bidi="ar"/>
        </w:rPr>
        <w:t>货时间：</w:t>
      </w:r>
    </w:p>
    <w:p>
      <w:pPr>
        <w:pStyle w:val="44"/>
        <w:spacing w:after="0" w:line="360" w:lineRule="auto"/>
        <w:ind w:firstLineChars="200"/>
        <w:rPr>
          <w:rFonts w:ascii="宋体" w:hAnsi="宋体"/>
          <w:sz w:val="24"/>
          <w:szCs w:val="24"/>
          <w:lang w:bidi="ar"/>
        </w:rPr>
      </w:pPr>
      <w:r>
        <w:rPr>
          <w:rFonts w:hint="eastAsia" w:ascii="宋体" w:hAnsi="宋体"/>
          <w:bCs/>
          <w:sz w:val="24"/>
          <w:szCs w:val="24"/>
        </w:rPr>
        <w:t>合同签订</w:t>
      </w:r>
      <w:r>
        <w:rPr>
          <w:rFonts w:ascii="宋体" w:hAnsi="宋体"/>
          <w:bCs/>
          <w:sz w:val="24"/>
          <w:szCs w:val="24"/>
        </w:rPr>
        <w:t>后</w:t>
      </w:r>
      <w:r>
        <w:rPr>
          <w:rFonts w:hint="eastAsia" w:ascii="宋体" w:hAnsi="宋体"/>
          <w:bCs/>
          <w:sz w:val="24"/>
          <w:szCs w:val="24"/>
          <w:u w:val="single"/>
        </w:rPr>
        <w:t xml:space="preserve"> </w:t>
      </w:r>
      <w:r>
        <w:rPr>
          <w:rFonts w:ascii="宋体" w:hAnsi="宋体"/>
          <w:bCs/>
          <w:sz w:val="24"/>
          <w:szCs w:val="24"/>
          <w:u w:val="single"/>
        </w:rPr>
        <w:t>5</w:t>
      </w:r>
      <w:r>
        <w:rPr>
          <w:rFonts w:hint="eastAsia" w:ascii="宋体" w:hAnsi="宋体"/>
          <w:bCs/>
          <w:sz w:val="24"/>
          <w:szCs w:val="24"/>
          <w:u w:val="single"/>
        </w:rPr>
        <w:t xml:space="preserve"> </w:t>
      </w:r>
      <w:r>
        <w:rPr>
          <w:rFonts w:hint="eastAsia" w:ascii="宋体" w:hAnsi="宋体"/>
          <w:bCs/>
          <w:sz w:val="24"/>
          <w:szCs w:val="24"/>
        </w:rPr>
        <w:t>天到货</w:t>
      </w:r>
    </w:p>
    <w:p>
      <w:pPr>
        <w:pStyle w:val="44"/>
        <w:spacing w:after="0" w:line="360" w:lineRule="auto"/>
        <w:ind w:firstLineChars="200"/>
        <w:rPr>
          <w:rFonts w:hint="eastAsia" w:ascii="宋体" w:hAnsi="宋体"/>
          <w:sz w:val="24"/>
          <w:szCs w:val="24"/>
          <w:lang w:bidi="ar"/>
        </w:rPr>
      </w:pPr>
      <w:r>
        <w:rPr>
          <w:rFonts w:ascii="宋体" w:hAnsi="宋体"/>
          <w:sz w:val="24"/>
          <w:szCs w:val="24"/>
          <w:lang w:bidi="ar"/>
        </w:rPr>
        <w:t>4.交付地点：</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具体</w:t>
      </w:r>
      <w:r>
        <w:rPr>
          <w:rFonts w:hint="eastAsia" w:ascii="宋体" w:hAnsi="宋体"/>
          <w:bCs/>
          <w:sz w:val="24"/>
          <w:szCs w:val="24"/>
        </w:rPr>
        <w:t>：</w:t>
      </w:r>
      <w:r>
        <w:rPr>
          <w:rFonts w:hint="eastAsia" w:ascii="宋体" w:hAnsi="宋体"/>
          <w:bCs/>
          <w:sz w:val="24"/>
          <w:szCs w:val="24"/>
          <w:u w:val="single"/>
        </w:rPr>
        <w:t xml:space="preserve"> 广东省珠海市粤华路210号珠海市卫生学校 </w:t>
      </w:r>
    </w:p>
    <w:p>
      <w:pPr>
        <w:pStyle w:val="44"/>
        <w:spacing w:after="0" w:line="360" w:lineRule="auto"/>
        <w:ind w:firstLineChars="200"/>
        <w:rPr>
          <w:rFonts w:hint="eastAsia" w:ascii="宋体" w:hAnsi="宋体"/>
          <w:sz w:val="24"/>
          <w:szCs w:val="24"/>
          <w:lang w:bidi="ar"/>
        </w:rPr>
      </w:pPr>
      <w:r>
        <w:rPr>
          <w:rFonts w:ascii="宋体" w:hAnsi="宋体"/>
          <w:sz w:val="24"/>
          <w:szCs w:val="24"/>
          <w:lang w:bidi="ar"/>
        </w:rPr>
        <w:t>5.验收</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5.1</w:t>
      </w:r>
      <w:r>
        <w:rPr>
          <w:rFonts w:ascii="宋体" w:hAnsi="宋体"/>
          <w:sz w:val="24"/>
          <w:szCs w:val="24"/>
          <w:lang w:bidi="ar"/>
        </w:rPr>
        <w:t>验收方式：</w:t>
      </w:r>
    </w:p>
    <w:p>
      <w:pPr>
        <w:pStyle w:val="44"/>
        <w:spacing w:after="0" w:line="360" w:lineRule="auto"/>
        <w:ind w:firstLineChars="200"/>
        <w:rPr>
          <w:rFonts w:ascii="宋体" w:hAnsi="宋体"/>
          <w:sz w:val="24"/>
          <w:szCs w:val="24"/>
          <w:lang w:bidi="ar"/>
        </w:rPr>
      </w:pPr>
      <w:r>
        <w:rPr>
          <w:rFonts w:hint="eastAsia" w:ascii="宋体" w:hAnsi="宋体"/>
          <w:bCs/>
          <w:sz w:val="24"/>
          <w:szCs w:val="24"/>
          <w:u w:val="single"/>
          <w:lang w:val="en-US" w:eastAsia="zh-CN"/>
        </w:rPr>
        <w:t>中标人</w:t>
      </w:r>
      <w:r>
        <w:rPr>
          <w:rFonts w:hint="eastAsia" w:ascii="宋体" w:hAnsi="宋体"/>
          <w:bCs/>
          <w:sz w:val="24"/>
          <w:szCs w:val="24"/>
          <w:u w:val="single"/>
        </w:rPr>
        <w:t>提供气体灭火</w:t>
      </w:r>
      <w:r>
        <w:rPr>
          <w:rFonts w:ascii="宋体" w:hAnsi="宋体"/>
          <w:bCs/>
          <w:sz w:val="24"/>
          <w:szCs w:val="24"/>
          <w:u w:val="single"/>
        </w:rPr>
        <w:t>系统配件</w:t>
      </w:r>
      <w:r>
        <w:rPr>
          <w:rFonts w:hint="eastAsia" w:ascii="宋体" w:hAnsi="宋体"/>
          <w:bCs/>
          <w:sz w:val="24"/>
          <w:szCs w:val="24"/>
          <w:u w:val="single"/>
        </w:rPr>
        <w:t>相应文档资料（检测报告和出厂合格证书）</w:t>
      </w:r>
    </w:p>
    <w:p>
      <w:pPr>
        <w:pStyle w:val="44"/>
        <w:spacing w:after="0" w:line="360" w:lineRule="auto"/>
        <w:ind w:firstLineChars="200"/>
        <w:rPr>
          <w:rFonts w:ascii="宋体" w:hAnsi="宋体"/>
          <w:sz w:val="24"/>
          <w:szCs w:val="24"/>
          <w:lang w:bidi="ar"/>
        </w:rPr>
      </w:pPr>
      <w:r>
        <w:rPr>
          <w:rFonts w:hint="eastAsia" w:ascii="宋体" w:hAnsi="宋体"/>
          <w:sz w:val="24"/>
          <w:szCs w:val="24"/>
          <w:lang w:bidi="ar"/>
        </w:rPr>
        <w:t>5.2</w:t>
      </w:r>
      <w:r>
        <w:rPr>
          <w:rFonts w:ascii="宋体" w:hAnsi="宋体"/>
          <w:sz w:val="24"/>
          <w:szCs w:val="24"/>
          <w:lang w:bidi="ar"/>
        </w:rPr>
        <w:t>验收标准：</w:t>
      </w:r>
    </w:p>
    <w:p>
      <w:pPr>
        <w:pStyle w:val="44"/>
        <w:numPr>
          <w:ilvl w:val="0"/>
          <w:numId w:val="5"/>
        </w:numPr>
        <w:spacing w:after="0" w:line="360" w:lineRule="auto"/>
        <w:ind w:firstLineChars="0"/>
        <w:rPr>
          <w:rFonts w:ascii="宋体" w:hAnsi="宋体"/>
          <w:bCs/>
          <w:sz w:val="24"/>
          <w:szCs w:val="24"/>
          <w:u w:val="single"/>
        </w:rPr>
      </w:pPr>
      <w:r>
        <w:rPr>
          <w:rFonts w:hint="eastAsia" w:ascii="宋体" w:hAnsi="宋体"/>
          <w:bCs/>
          <w:sz w:val="24"/>
          <w:szCs w:val="24"/>
          <w:u w:val="single"/>
        </w:rPr>
        <w:t>符合国家</w:t>
      </w:r>
      <w:r>
        <w:rPr>
          <w:rFonts w:ascii="宋体" w:hAnsi="宋体"/>
          <w:bCs/>
          <w:sz w:val="24"/>
          <w:szCs w:val="24"/>
          <w:u w:val="single"/>
        </w:rPr>
        <w:t>标准</w:t>
      </w:r>
      <w:r>
        <w:rPr>
          <w:rFonts w:hint="eastAsia" w:ascii="宋体" w:hAnsi="宋体"/>
          <w:bCs/>
          <w:sz w:val="24"/>
          <w:szCs w:val="24"/>
          <w:u w:val="single"/>
        </w:rPr>
        <w:t>GB50370-2005《气体</w:t>
      </w:r>
      <w:r>
        <w:rPr>
          <w:rFonts w:ascii="宋体" w:hAnsi="宋体"/>
          <w:bCs/>
          <w:sz w:val="24"/>
          <w:szCs w:val="24"/>
          <w:u w:val="single"/>
        </w:rPr>
        <w:t>灭火系统设计规范</w:t>
      </w:r>
      <w:r>
        <w:rPr>
          <w:rFonts w:hint="eastAsia" w:ascii="宋体" w:hAnsi="宋体"/>
          <w:bCs/>
          <w:sz w:val="24"/>
          <w:szCs w:val="24"/>
          <w:u w:val="single"/>
        </w:rPr>
        <w:t>》</w:t>
      </w:r>
    </w:p>
    <w:p>
      <w:pPr>
        <w:pStyle w:val="44"/>
        <w:numPr>
          <w:ilvl w:val="0"/>
          <w:numId w:val="5"/>
        </w:numPr>
        <w:spacing w:after="0" w:line="360" w:lineRule="auto"/>
        <w:ind w:firstLineChars="0"/>
        <w:rPr>
          <w:rFonts w:hint="eastAsia" w:ascii="宋体" w:hAnsi="宋体"/>
          <w:bCs/>
          <w:sz w:val="24"/>
          <w:szCs w:val="24"/>
          <w:u w:val="single"/>
        </w:rPr>
      </w:pPr>
      <w:r>
        <w:rPr>
          <w:rFonts w:hint="eastAsia" w:ascii="宋体" w:hAnsi="宋体"/>
          <w:bCs/>
          <w:sz w:val="24"/>
          <w:szCs w:val="24"/>
          <w:u w:val="single"/>
        </w:rPr>
        <w:t>符合国家</w:t>
      </w:r>
      <w:r>
        <w:rPr>
          <w:rFonts w:ascii="宋体" w:hAnsi="宋体"/>
          <w:bCs/>
          <w:sz w:val="24"/>
          <w:szCs w:val="24"/>
          <w:u w:val="single"/>
        </w:rPr>
        <w:t>标准</w:t>
      </w:r>
      <w:r>
        <w:rPr>
          <w:rFonts w:hint="eastAsia" w:ascii="宋体" w:hAnsi="宋体"/>
          <w:bCs/>
          <w:sz w:val="24"/>
          <w:szCs w:val="24"/>
          <w:u w:val="single"/>
        </w:rPr>
        <w:t>GB50</w:t>
      </w:r>
      <w:r>
        <w:rPr>
          <w:rFonts w:ascii="宋体" w:hAnsi="宋体"/>
          <w:bCs/>
          <w:sz w:val="24"/>
          <w:szCs w:val="24"/>
          <w:u w:val="single"/>
        </w:rPr>
        <w:t>116</w:t>
      </w:r>
      <w:r>
        <w:rPr>
          <w:rFonts w:hint="eastAsia" w:ascii="宋体" w:hAnsi="宋体"/>
          <w:bCs/>
          <w:sz w:val="24"/>
          <w:szCs w:val="24"/>
          <w:u w:val="single"/>
        </w:rPr>
        <w:t>-20</w:t>
      </w:r>
      <w:r>
        <w:rPr>
          <w:rFonts w:ascii="宋体" w:hAnsi="宋体"/>
          <w:bCs/>
          <w:sz w:val="24"/>
          <w:szCs w:val="24"/>
          <w:u w:val="single"/>
        </w:rPr>
        <w:t>13</w:t>
      </w:r>
      <w:r>
        <w:rPr>
          <w:rFonts w:hint="eastAsia" w:ascii="宋体" w:hAnsi="宋体"/>
          <w:bCs/>
          <w:sz w:val="24"/>
          <w:szCs w:val="24"/>
          <w:u w:val="single"/>
        </w:rPr>
        <w:t>《火灾自动</w:t>
      </w:r>
      <w:r>
        <w:rPr>
          <w:rFonts w:ascii="宋体" w:hAnsi="宋体"/>
          <w:bCs/>
          <w:sz w:val="24"/>
          <w:szCs w:val="24"/>
          <w:u w:val="single"/>
        </w:rPr>
        <w:t>报警系统设计规范</w:t>
      </w:r>
      <w:r>
        <w:rPr>
          <w:rFonts w:hint="eastAsia" w:ascii="宋体" w:hAnsi="宋体"/>
          <w:bCs/>
          <w:sz w:val="24"/>
          <w:szCs w:val="24"/>
          <w:u w:val="single"/>
        </w:rPr>
        <w:t>》</w:t>
      </w:r>
    </w:p>
    <w:p>
      <w:pPr>
        <w:pStyle w:val="44"/>
        <w:numPr>
          <w:ilvl w:val="0"/>
          <w:numId w:val="5"/>
        </w:numPr>
        <w:spacing w:after="0" w:line="360" w:lineRule="auto"/>
        <w:ind w:firstLineChars="0"/>
        <w:rPr>
          <w:rFonts w:ascii="宋体" w:hAnsi="宋体"/>
          <w:bCs/>
          <w:sz w:val="24"/>
          <w:szCs w:val="24"/>
          <w:u w:val="single"/>
        </w:rPr>
      </w:pPr>
      <w:r>
        <w:rPr>
          <w:rFonts w:hint="eastAsia" w:ascii="宋体" w:hAnsi="宋体"/>
          <w:bCs/>
          <w:sz w:val="24"/>
          <w:szCs w:val="24"/>
          <w:u w:val="single"/>
        </w:rPr>
        <w:t>符合国家</w:t>
      </w:r>
      <w:r>
        <w:rPr>
          <w:rFonts w:ascii="宋体" w:hAnsi="宋体"/>
          <w:bCs/>
          <w:sz w:val="24"/>
          <w:szCs w:val="24"/>
          <w:u w:val="single"/>
        </w:rPr>
        <w:t>标准</w:t>
      </w:r>
      <w:r>
        <w:rPr>
          <w:rFonts w:hint="eastAsia" w:ascii="宋体" w:hAnsi="宋体"/>
          <w:bCs/>
          <w:sz w:val="24"/>
          <w:szCs w:val="24"/>
          <w:u w:val="single"/>
        </w:rPr>
        <w:t>GB50</w:t>
      </w:r>
      <w:r>
        <w:rPr>
          <w:rFonts w:ascii="宋体" w:hAnsi="宋体"/>
          <w:bCs/>
          <w:sz w:val="24"/>
          <w:szCs w:val="24"/>
          <w:u w:val="single"/>
        </w:rPr>
        <w:t>166</w:t>
      </w:r>
      <w:r>
        <w:rPr>
          <w:rFonts w:hint="eastAsia" w:ascii="宋体" w:hAnsi="宋体"/>
          <w:bCs/>
          <w:sz w:val="24"/>
          <w:szCs w:val="24"/>
          <w:u w:val="single"/>
        </w:rPr>
        <w:t>-200</w:t>
      </w:r>
      <w:r>
        <w:rPr>
          <w:rFonts w:ascii="宋体" w:hAnsi="宋体"/>
          <w:bCs/>
          <w:sz w:val="24"/>
          <w:szCs w:val="24"/>
          <w:u w:val="single"/>
        </w:rPr>
        <w:t>7</w:t>
      </w:r>
      <w:r>
        <w:rPr>
          <w:rFonts w:hint="eastAsia" w:ascii="宋体" w:hAnsi="宋体"/>
          <w:bCs/>
          <w:sz w:val="24"/>
          <w:szCs w:val="24"/>
          <w:u w:val="single"/>
        </w:rPr>
        <w:t>《火灾自动</w:t>
      </w:r>
      <w:r>
        <w:rPr>
          <w:rFonts w:ascii="宋体" w:hAnsi="宋体"/>
          <w:bCs/>
          <w:sz w:val="24"/>
          <w:szCs w:val="24"/>
          <w:u w:val="single"/>
        </w:rPr>
        <w:t>报警系统施工</w:t>
      </w:r>
      <w:r>
        <w:rPr>
          <w:rFonts w:hint="eastAsia" w:ascii="宋体" w:hAnsi="宋体"/>
          <w:bCs/>
          <w:sz w:val="24"/>
          <w:szCs w:val="24"/>
          <w:u w:val="single"/>
        </w:rPr>
        <w:t>及</w:t>
      </w:r>
      <w:r>
        <w:rPr>
          <w:rFonts w:ascii="宋体" w:hAnsi="宋体"/>
          <w:bCs/>
          <w:sz w:val="24"/>
          <w:szCs w:val="24"/>
          <w:u w:val="single"/>
        </w:rPr>
        <w:t>验收规范</w:t>
      </w:r>
      <w:r>
        <w:rPr>
          <w:rFonts w:hint="eastAsia" w:ascii="宋体" w:hAnsi="宋体"/>
          <w:bCs/>
          <w:sz w:val="24"/>
          <w:szCs w:val="24"/>
          <w:u w:val="single"/>
        </w:rPr>
        <w:t>》</w:t>
      </w:r>
    </w:p>
    <w:p>
      <w:pPr>
        <w:pStyle w:val="44"/>
        <w:numPr>
          <w:ilvl w:val="0"/>
          <w:numId w:val="5"/>
        </w:numPr>
        <w:spacing w:after="0" w:line="360" w:lineRule="auto"/>
        <w:ind w:firstLineChars="0"/>
        <w:rPr>
          <w:rFonts w:ascii="宋体" w:hAnsi="宋体"/>
          <w:bCs/>
          <w:sz w:val="24"/>
          <w:szCs w:val="24"/>
          <w:u w:val="single"/>
        </w:rPr>
      </w:pPr>
      <w:r>
        <w:rPr>
          <w:rFonts w:hint="eastAsia" w:ascii="宋体" w:hAnsi="宋体"/>
          <w:bCs/>
          <w:sz w:val="24"/>
          <w:szCs w:val="24"/>
          <w:u w:val="single"/>
        </w:rPr>
        <w:t>符合国家</w:t>
      </w:r>
      <w:r>
        <w:rPr>
          <w:rFonts w:ascii="宋体" w:hAnsi="宋体"/>
          <w:bCs/>
          <w:sz w:val="24"/>
          <w:szCs w:val="24"/>
          <w:u w:val="single"/>
        </w:rPr>
        <w:t>标准</w:t>
      </w:r>
      <w:r>
        <w:rPr>
          <w:rFonts w:hint="eastAsia" w:ascii="宋体" w:hAnsi="宋体"/>
          <w:bCs/>
          <w:sz w:val="24"/>
          <w:szCs w:val="24"/>
          <w:u w:val="single"/>
        </w:rPr>
        <w:t>GB50</w:t>
      </w:r>
      <w:r>
        <w:rPr>
          <w:rFonts w:ascii="宋体" w:hAnsi="宋体"/>
          <w:bCs/>
          <w:sz w:val="24"/>
          <w:szCs w:val="24"/>
          <w:u w:val="single"/>
        </w:rPr>
        <w:t>263</w:t>
      </w:r>
      <w:r>
        <w:rPr>
          <w:rFonts w:hint="eastAsia" w:ascii="宋体" w:hAnsi="宋体"/>
          <w:bCs/>
          <w:sz w:val="24"/>
          <w:szCs w:val="24"/>
          <w:u w:val="single"/>
        </w:rPr>
        <w:t>-200</w:t>
      </w:r>
      <w:r>
        <w:rPr>
          <w:rFonts w:ascii="宋体" w:hAnsi="宋体"/>
          <w:bCs/>
          <w:sz w:val="24"/>
          <w:szCs w:val="24"/>
          <w:u w:val="single"/>
        </w:rPr>
        <w:t>7</w:t>
      </w:r>
      <w:r>
        <w:rPr>
          <w:rFonts w:hint="eastAsia" w:ascii="宋体" w:hAnsi="宋体"/>
          <w:bCs/>
          <w:sz w:val="24"/>
          <w:szCs w:val="24"/>
          <w:u w:val="single"/>
        </w:rPr>
        <w:t>《气体</w:t>
      </w:r>
      <w:r>
        <w:rPr>
          <w:rFonts w:ascii="宋体" w:hAnsi="宋体"/>
          <w:bCs/>
          <w:sz w:val="24"/>
          <w:szCs w:val="24"/>
          <w:u w:val="single"/>
        </w:rPr>
        <w:t>灭火系统</w:t>
      </w:r>
      <w:r>
        <w:rPr>
          <w:rFonts w:hint="eastAsia" w:ascii="宋体" w:hAnsi="宋体"/>
          <w:bCs/>
          <w:sz w:val="24"/>
          <w:szCs w:val="24"/>
          <w:u w:val="single"/>
        </w:rPr>
        <w:t>施工及</w:t>
      </w:r>
      <w:r>
        <w:rPr>
          <w:rFonts w:ascii="宋体" w:hAnsi="宋体"/>
          <w:bCs/>
          <w:sz w:val="24"/>
          <w:szCs w:val="24"/>
          <w:u w:val="single"/>
        </w:rPr>
        <w:t>验收规范</w:t>
      </w:r>
      <w:r>
        <w:rPr>
          <w:rFonts w:hint="eastAsia" w:ascii="宋体" w:hAnsi="宋体"/>
          <w:bCs/>
          <w:sz w:val="24"/>
          <w:szCs w:val="24"/>
          <w:u w:val="single"/>
        </w:rPr>
        <w:t>》</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6.</w:t>
      </w:r>
      <w:r>
        <w:rPr>
          <w:rFonts w:hint="eastAsia" w:ascii="宋体" w:hAnsi="宋体"/>
          <w:sz w:val="24"/>
          <w:szCs w:val="24"/>
          <w:lang w:val="en-US" w:eastAsia="zh-CN" w:bidi="ar"/>
        </w:rPr>
        <w:t>报价</w:t>
      </w:r>
      <w:r>
        <w:rPr>
          <w:rFonts w:hint="eastAsia" w:ascii="宋体" w:hAnsi="宋体"/>
          <w:sz w:val="24"/>
          <w:szCs w:val="24"/>
          <w:lang w:bidi="ar"/>
        </w:rPr>
        <w:t>：</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6.1本</w:t>
      </w:r>
      <w:r>
        <w:rPr>
          <w:rFonts w:hint="eastAsia" w:ascii="宋体" w:hAnsi="宋体"/>
          <w:sz w:val="24"/>
          <w:szCs w:val="24"/>
          <w:lang w:val="en-US" w:eastAsia="zh-CN" w:bidi="ar"/>
        </w:rPr>
        <w:t>项目</w:t>
      </w:r>
      <w:r>
        <w:rPr>
          <w:rFonts w:hint="eastAsia" w:ascii="宋体" w:hAnsi="宋体"/>
          <w:sz w:val="24"/>
          <w:szCs w:val="24"/>
          <w:lang w:bidi="ar"/>
        </w:rPr>
        <w:t>总价是</w:t>
      </w:r>
      <w:r>
        <w:rPr>
          <w:rFonts w:hint="eastAsia" w:ascii="宋体" w:hAnsi="宋体"/>
          <w:sz w:val="24"/>
          <w:szCs w:val="24"/>
          <w:lang w:val="en-US" w:eastAsia="zh-CN" w:bidi="ar"/>
        </w:rPr>
        <w:t>中标人</w:t>
      </w:r>
      <w:r>
        <w:rPr>
          <w:rFonts w:hint="eastAsia" w:ascii="宋体" w:hAnsi="宋体"/>
          <w:sz w:val="24"/>
          <w:szCs w:val="24"/>
          <w:lang w:bidi="ar"/>
        </w:rPr>
        <w:t>在认真测察现场并充分了解施工的基础上核算出。</w:t>
      </w:r>
      <w:r>
        <w:rPr>
          <w:rFonts w:hint="eastAsia" w:ascii="宋体" w:hAnsi="宋体"/>
          <w:sz w:val="24"/>
          <w:szCs w:val="24"/>
          <w:lang w:val="en-US" w:eastAsia="zh-CN" w:bidi="ar"/>
        </w:rPr>
        <w:t>中标人</w:t>
      </w:r>
      <w:r>
        <w:rPr>
          <w:rFonts w:hint="eastAsia" w:ascii="宋体" w:hAnsi="宋体"/>
          <w:sz w:val="24"/>
          <w:szCs w:val="24"/>
          <w:lang w:bidi="ar"/>
        </w:rPr>
        <w:t>承诺不会因下列问题停止工作或追加费用或影响工期，任何由于下列问题没有及时提出和解决而造成的</w:t>
      </w:r>
      <w:r>
        <w:rPr>
          <w:rFonts w:hint="eastAsia" w:ascii="宋体" w:hAnsi="宋体"/>
          <w:sz w:val="24"/>
          <w:szCs w:val="24"/>
          <w:lang w:val="en-US" w:eastAsia="zh-CN" w:bidi="ar"/>
        </w:rPr>
        <w:t>采购人</w:t>
      </w:r>
      <w:r>
        <w:rPr>
          <w:rFonts w:hint="eastAsia" w:ascii="宋体" w:hAnsi="宋体"/>
          <w:sz w:val="24"/>
          <w:szCs w:val="24"/>
          <w:lang w:bidi="ar"/>
        </w:rPr>
        <w:t>费用和工期损失由</w:t>
      </w:r>
      <w:r>
        <w:rPr>
          <w:rFonts w:hint="eastAsia" w:ascii="宋体" w:hAnsi="宋体"/>
          <w:sz w:val="24"/>
          <w:szCs w:val="24"/>
          <w:lang w:val="en-US" w:eastAsia="zh-CN" w:bidi="ar"/>
        </w:rPr>
        <w:t>中标人</w:t>
      </w:r>
      <w:r>
        <w:rPr>
          <w:rFonts w:hint="eastAsia" w:ascii="宋体" w:hAnsi="宋体"/>
          <w:sz w:val="24"/>
          <w:szCs w:val="24"/>
          <w:lang w:bidi="ar"/>
        </w:rPr>
        <w:t>承担。</w:t>
      </w:r>
    </w:p>
    <w:p>
      <w:pPr>
        <w:pStyle w:val="44"/>
        <w:numPr>
          <w:ilvl w:val="0"/>
          <w:numId w:val="6"/>
        </w:numPr>
        <w:spacing w:after="0" w:line="360" w:lineRule="auto"/>
        <w:ind w:firstLineChars="200"/>
        <w:rPr>
          <w:rFonts w:hint="eastAsia" w:ascii="宋体" w:hAnsi="宋体"/>
          <w:sz w:val="24"/>
          <w:szCs w:val="24"/>
          <w:lang w:bidi="ar"/>
        </w:rPr>
      </w:pPr>
      <w:r>
        <w:rPr>
          <w:rFonts w:hint="eastAsia" w:ascii="宋体" w:hAnsi="宋体"/>
          <w:sz w:val="24"/>
          <w:szCs w:val="24"/>
          <w:lang w:bidi="ar"/>
        </w:rPr>
        <w:t>施工现场有不符合工程规范或有任何不合理或不确切之处。</w:t>
      </w:r>
    </w:p>
    <w:p>
      <w:pPr>
        <w:pStyle w:val="44"/>
        <w:numPr>
          <w:ilvl w:val="0"/>
          <w:numId w:val="6"/>
        </w:numPr>
        <w:spacing w:after="0" w:line="360" w:lineRule="auto"/>
        <w:ind w:firstLineChars="200"/>
        <w:rPr>
          <w:rFonts w:hint="eastAsia" w:ascii="宋体" w:hAnsi="宋体"/>
          <w:sz w:val="24"/>
          <w:szCs w:val="24"/>
          <w:lang w:bidi="ar"/>
        </w:rPr>
      </w:pPr>
      <w:r>
        <w:rPr>
          <w:rFonts w:hint="eastAsia" w:ascii="宋体" w:hAnsi="宋体"/>
          <w:sz w:val="24"/>
          <w:szCs w:val="24"/>
          <w:lang w:bidi="ar"/>
        </w:rPr>
        <w:t>因计算失误而导致的工程量变更（包括工程废料清理）。</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bidi="ar"/>
        </w:rPr>
        <w:t>6.</w:t>
      </w:r>
      <w:r>
        <w:rPr>
          <w:rFonts w:hint="eastAsia" w:ascii="宋体" w:hAnsi="宋体"/>
          <w:sz w:val="24"/>
          <w:szCs w:val="24"/>
          <w:lang w:val="en-US" w:eastAsia="zh-CN" w:bidi="ar"/>
        </w:rPr>
        <w:t>2</w:t>
      </w:r>
      <w:r>
        <w:rPr>
          <w:rFonts w:hint="eastAsia" w:ascii="宋体" w:hAnsi="宋体"/>
          <w:sz w:val="24"/>
          <w:szCs w:val="24"/>
          <w:lang w:bidi="ar"/>
        </w:rPr>
        <w:t>报价含人工、材料、运输、垃圾清运、税金及相关规费等</w:t>
      </w:r>
      <w:r>
        <w:rPr>
          <w:rFonts w:hint="eastAsia" w:ascii="宋体" w:hAnsi="宋体"/>
          <w:sz w:val="24"/>
          <w:szCs w:val="24"/>
          <w:lang w:eastAsia="zh-CN" w:bidi="ar"/>
        </w:rPr>
        <w:t>。</w:t>
      </w:r>
    </w:p>
    <w:p>
      <w:pPr>
        <w:pStyle w:val="44"/>
        <w:spacing w:after="0" w:line="360" w:lineRule="auto"/>
        <w:ind w:firstLineChars="200"/>
        <w:rPr>
          <w:rFonts w:hint="eastAsia" w:ascii="宋体" w:hAnsi="宋体"/>
          <w:sz w:val="24"/>
          <w:szCs w:val="24"/>
          <w:lang w:val="en-US" w:eastAsia="zh-CN" w:bidi="ar"/>
        </w:rPr>
      </w:pPr>
      <w:r>
        <w:rPr>
          <w:rFonts w:hint="eastAsia" w:ascii="宋体" w:hAnsi="宋体"/>
          <w:sz w:val="24"/>
          <w:szCs w:val="24"/>
          <w:lang w:val="en-US" w:eastAsia="zh-CN" w:bidi="ar"/>
        </w:rPr>
        <w:t>7.安装要求：</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val="en-US" w:eastAsia="zh-CN" w:bidi="ar"/>
        </w:rPr>
        <w:t>7.1中标人</w:t>
      </w:r>
      <w:r>
        <w:rPr>
          <w:rFonts w:hint="eastAsia" w:ascii="宋体" w:hAnsi="宋体"/>
          <w:sz w:val="24"/>
          <w:szCs w:val="24"/>
          <w:lang w:bidi="ar"/>
        </w:rPr>
        <w:t>在作业过程中应文明规范作业，符合国家相关质量标准和安全防护措施要求，在作业和运送过程中对安全管理和安全防护负有全部责任，</w:t>
      </w:r>
      <w:r>
        <w:rPr>
          <w:rFonts w:hint="eastAsia" w:ascii="宋体" w:hAnsi="宋体"/>
          <w:sz w:val="24"/>
          <w:szCs w:val="24"/>
          <w:lang w:val="en-US" w:eastAsia="zh-CN" w:bidi="ar"/>
        </w:rPr>
        <w:t>中标人</w:t>
      </w:r>
      <w:r>
        <w:rPr>
          <w:rFonts w:hint="eastAsia" w:ascii="宋体" w:hAnsi="宋体"/>
          <w:sz w:val="24"/>
          <w:szCs w:val="24"/>
          <w:lang w:bidi="ar"/>
        </w:rPr>
        <w:t>对本项目内全部施工范围和施工人员负安全责任，因发生安全事故导致的一切责任包括财产损失和人身伤害均由</w:t>
      </w:r>
      <w:r>
        <w:rPr>
          <w:rFonts w:hint="eastAsia" w:ascii="宋体" w:hAnsi="宋体"/>
          <w:sz w:val="24"/>
          <w:szCs w:val="24"/>
          <w:lang w:val="en-US" w:eastAsia="zh-CN" w:bidi="ar"/>
        </w:rPr>
        <w:t>投标人</w:t>
      </w:r>
      <w:r>
        <w:rPr>
          <w:rFonts w:hint="eastAsia" w:ascii="宋体" w:hAnsi="宋体"/>
          <w:sz w:val="24"/>
          <w:szCs w:val="24"/>
          <w:lang w:bidi="ar"/>
        </w:rPr>
        <w:t>负责，</w:t>
      </w:r>
      <w:r>
        <w:rPr>
          <w:rFonts w:hint="eastAsia" w:ascii="宋体" w:hAnsi="宋体"/>
          <w:sz w:val="24"/>
          <w:szCs w:val="24"/>
          <w:lang w:val="en-US" w:eastAsia="zh-CN" w:bidi="ar"/>
        </w:rPr>
        <w:t>采购人</w:t>
      </w:r>
      <w:r>
        <w:rPr>
          <w:rFonts w:hint="eastAsia" w:ascii="宋体" w:hAnsi="宋体"/>
          <w:sz w:val="24"/>
          <w:szCs w:val="24"/>
          <w:lang w:bidi="ar"/>
        </w:rPr>
        <w:t>概不负责。</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val="en-US" w:eastAsia="zh-CN" w:bidi="ar"/>
        </w:rPr>
        <w:t>7</w:t>
      </w:r>
      <w:r>
        <w:rPr>
          <w:rFonts w:hint="eastAsia" w:ascii="宋体" w:hAnsi="宋体"/>
          <w:sz w:val="24"/>
          <w:szCs w:val="24"/>
          <w:lang w:bidi="ar"/>
        </w:rPr>
        <w:t>.</w:t>
      </w:r>
      <w:r>
        <w:rPr>
          <w:rFonts w:hint="eastAsia" w:ascii="宋体" w:hAnsi="宋体"/>
          <w:sz w:val="24"/>
          <w:szCs w:val="24"/>
          <w:lang w:val="en-US" w:eastAsia="zh-CN" w:bidi="ar"/>
        </w:rPr>
        <w:t>2</w:t>
      </w:r>
      <w:r>
        <w:rPr>
          <w:rFonts w:hint="eastAsia" w:ascii="宋体" w:hAnsi="宋体"/>
          <w:sz w:val="24"/>
          <w:szCs w:val="24"/>
          <w:lang w:bidi="ar"/>
        </w:rPr>
        <w:t>严格按照标准施工，施工发生人为损坏院</w:t>
      </w:r>
      <w:r>
        <w:rPr>
          <w:rFonts w:hint="eastAsia" w:ascii="宋体" w:hAnsi="宋体"/>
          <w:sz w:val="24"/>
          <w:szCs w:val="24"/>
          <w:lang w:val="en-US" w:eastAsia="zh-CN" w:bidi="ar"/>
        </w:rPr>
        <w:t>采购人</w:t>
      </w:r>
      <w:r>
        <w:rPr>
          <w:rFonts w:hint="eastAsia" w:ascii="宋体" w:hAnsi="宋体"/>
          <w:sz w:val="24"/>
          <w:szCs w:val="24"/>
          <w:lang w:bidi="ar"/>
        </w:rPr>
        <w:t>物件，由</w:t>
      </w:r>
      <w:r>
        <w:rPr>
          <w:rFonts w:hint="eastAsia" w:ascii="宋体" w:hAnsi="宋体"/>
          <w:sz w:val="24"/>
          <w:szCs w:val="24"/>
          <w:lang w:val="en-US" w:eastAsia="zh-CN" w:bidi="ar"/>
        </w:rPr>
        <w:t>中标人</w:t>
      </w:r>
      <w:r>
        <w:rPr>
          <w:rFonts w:hint="eastAsia" w:ascii="宋体" w:hAnsi="宋体"/>
          <w:sz w:val="24"/>
          <w:szCs w:val="24"/>
          <w:lang w:bidi="ar"/>
        </w:rPr>
        <w:t>负责修复或赔偿，并对造成的不良后果负全部责任（包括交通安全）。</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val="en-US" w:eastAsia="zh-CN" w:bidi="ar"/>
        </w:rPr>
        <w:t>8</w:t>
      </w:r>
      <w:r>
        <w:rPr>
          <w:rFonts w:hint="eastAsia" w:ascii="宋体" w:hAnsi="宋体"/>
          <w:sz w:val="24"/>
          <w:szCs w:val="24"/>
          <w:lang w:bidi="ar"/>
        </w:rPr>
        <w:t>.</w:t>
      </w:r>
      <w:r>
        <w:rPr>
          <w:rFonts w:ascii="宋体" w:hAnsi="宋体"/>
          <w:sz w:val="24"/>
          <w:szCs w:val="24"/>
          <w:lang w:bidi="ar"/>
        </w:rPr>
        <w:t>付款方式：</w:t>
      </w:r>
    </w:p>
    <w:p>
      <w:pPr>
        <w:spacing w:line="360" w:lineRule="auto"/>
        <w:ind w:firstLine="480" w:firstLineChars="200"/>
        <w:rPr>
          <w:bCs/>
          <w:sz w:val="24"/>
          <w:szCs w:val="24"/>
        </w:rPr>
      </w:pPr>
      <w:r>
        <w:rPr>
          <w:rFonts w:hint="eastAsia"/>
          <w:bCs/>
          <w:sz w:val="24"/>
          <w:szCs w:val="24"/>
        </w:rPr>
        <w:t>分期结算</w:t>
      </w:r>
    </w:p>
    <w:p>
      <w:pPr>
        <w:spacing w:line="360" w:lineRule="auto"/>
        <w:ind w:firstLine="480" w:firstLineChars="200"/>
        <w:rPr>
          <w:bCs/>
          <w:sz w:val="24"/>
          <w:szCs w:val="24"/>
          <w:u w:val="single"/>
        </w:rPr>
      </w:pPr>
      <w:r>
        <w:rPr>
          <w:rFonts w:hint="eastAsia"/>
          <w:bCs/>
          <w:sz w:val="24"/>
          <w:szCs w:val="24"/>
        </w:rPr>
        <w:t>第一期：货到交货地点、验收合格，且</w:t>
      </w:r>
      <w:r>
        <w:rPr>
          <w:rFonts w:hint="eastAsia"/>
          <w:bCs/>
          <w:sz w:val="24"/>
          <w:szCs w:val="24"/>
          <w:lang w:val="en-US" w:eastAsia="zh-CN"/>
        </w:rPr>
        <w:t>采购人</w:t>
      </w:r>
      <w:r>
        <w:rPr>
          <w:rFonts w:hint="eastAsia"/>
          <w:bCs/>
          <w:sz w:val="24"/>
          <w:szCs w:val="24"/>
        </w:rPr>
        <w:t>收到</w:t>
      </w:r>
      <w:r>
        <w:rPr>
          <w:rFonts w:hint="eastAsia"/>
          <w:bCs/>
          <w:sz w:val="24"/>
          <w:szCs w:val="24"/>
          <w:lang w:val="en-US" w:eastAsia="zh-CN"/>
        </w:rPr>
        <w:t>中标人</w:t>
      </w:r>
      <w:r>
        <w:rPr>
          <w:rFonts w:hint="eastAsia"/>
          <w:bCs/>
          <w:sz w:val="24"/>
          <w:szCs w:val="24"/>
        </w:rPr>
        <w:t>开具的等额正式发票后</w:t>
      </w:r>
      <w:r>
        <w:rPr>
          <w:rFonts w:hint="eastAsia"/>
          <w:bCs/>
          <w:sz w:val="24"/>
          <w:szCs w:val="24"/>
          <w:u w:val="single"/>
        </w:rPr>
        <w:t xml:space="preserve"> 15 </w:t>
      </w:r>
      <w:r>
        <w:rPr>
          <w:rFonts w:hint="eastAsia"/>
          <w:color w:val="000000"/>
          <w:sz w:val="24"/>
          <w:szCs w:val="24"/>
        </w:rPr>
        <w:t>个工作日</w:t>
      </w:r>
      <w:r>
        <w:rPr>
          <w:rFonts w:hint="eastAsia"/>
          <w:bCs/>
          <w:sz w:val="24"/>
          <w:szCs w:val="24"/>
        </w:rPr>
        <w:t>内支付总金额</w:t>
      </w:r>
      <w:r>
        <w:rPr>
          <w:rFonts w:hint="eastAsia"/>
          <w:bCs/>
          <w:sz w:val="24"/>
          <w:szCs w:val="24"/>
          <w:u w:val="single"/>
        </w:rPr>
        <w:t xml:space="preserve"> </w:t>
      </w:r>
      <w:r>
        <w:rPr>
          <w:bCs/>
          <w:sz w:val="24"/>
          <w:szCs w:val="24"/>
          <w:u w:val="single"/>
        </w:rPr>
        <w:t>70</w:t>
      </w:r>
      <w:r>
        <w:rPr>
          <w:rFonts w:hint="eastAsia"/>
          <w:bCs/>
          <w:sz w:val="24"/>
          <w:szCs w:val="24"/>
          <w:u w:val="single"/>
        </w:rPr>
        <w:t xml:space="preserve">% </w:t>
      </w:r>
      <w:r>
        <w:rPr>
          <w:rFonts w:hint="eastAsia"/>
          <w:bCs/>
          <w:sz w:val="24"/>
          <w:szCs w:val="24"/>
        </w:rPr>
        <w:t>。</w:t>
      </w:r>
    </w:p>
    <w:p>
      <w:pPr>
        <w:spacing w:line="360" w:lineRule="auto"/>
        <w:ind w:firstLine="480" w:firstLineChars="200"/>
        <w:rPr>
          <w:sz w:val="24"/>
          <w:szCs w:val="24"/>
          <w:lang w:bidi="ar"/>
        </w:rPr>
      </w:pPr>
      <w:r>
        <w:rPr>
          <w:rFonts w:hint="eastAsia"/>
          <w:bCs/>
          <w:sz w:val="24"/>
          <w:szCs w:val="24"/>
        </w:rPr>
        <w:t>第二期：总金额余款</w:t>
      </w:r>
      <w:r>
        <w:rPr>
          <w:rFonts w:hint="eastAsia"/>
          <w:bCs/>
          <w:sz w:val="24"/>
          <w:szCs w:val="24"/>
          <w:u w:val="single"/>
        </w:rPr>
        <w:t xml:space="preserve"> </w:t>
      </w:r>
      <w:r>
        <w:rPr>
          <w:bCs/>
          <w:sz w:val="24"/>
          <w:szCs w:val="24"/>
          <w:u w:val="single"/>
        </w:rPr>
        <w:t>30</w:t>
      </w:r>
      <w:r>
        <w:rPr>
          <w:rFonts w:hint="eastAsia"/>
          <w:bCs/>
          <w:sz w:val="24"/>
          <w:szCs w:val="24"/>
          <w:u w:val="single"/>
        </w:rPr>
        <w:t xml:space="preserve">% </w:t>
      </w:r>
      <w:r>
        <w:rPr>
          <w:rFonts w:hint="eastAsia"/>
          <w:bCs/>
          <w:sz w:val="24"/>
          <w:szCs w:val="24"/>
        </w:rPr>
        <w:t>在</w:t>
      </w:r>
      <w:r>
        <w:rPr>
          <w:rFonts w:hint="eastAsia"/>
          <w:color w:val="000000"/>
          <w:sz w:val="24"/>
          <w:szCs w:val="24"/>
        </w:rPr>
        <w:t>货物安装验收合格后三个月内，且货物不存在质量问题或</w:t>
      </w:r>
      <w:r>
        <w:rPr>
          <w:rFonts w:hint="eastAsia"/>
          <w:color w:val="000000"/>
          <w:sz w:val="24"/>
          <w:szCs w:val="24"/>
          <w:lang w:val="en-US" w:eastAsia="zh-CN"/>
        </w:rPr>
        <w:t>中标人</w:t>
      </w:r>
      <w:r>
        <w:rPr>
          <w:rFonts w:hint="eastAsia"/>
          <w:color w:val="000000"/>
          <w:sz w:val="24"/>
          <w:szCs w:val="24"/>
        </w:rPr>
        <w:t>已及时解决的，</w:t>
      </w:r>
      <w:r>
        <w:rPr>
          <w:rFonts w:hint="eastAsia"/>
          <w:color w:val="000000"/>
          <w:sz w:val="24"/>
          <w:szCs w:val="24"/>
          <w:lang w:val="en-US" w:eastAsia="zh-CN"/>
        </w:rPr>
        <w:t>采购人</w:t>
      </w:r>
      <w:r>
        <w:rPr>
          <w:rFonts w:hint="eastAsia"/>
          <w:color w:val="000000"/>
          <w:sz w:val="24"/>
          <w:szCs w:val="24"/>
        </w:rPr>
        <w:t>在收到</w:t>
      </w:r>
      <w:r>
        <w:rPr>
          <w:rFonts w:hint="eastAsia"/>
          <w:color w:val="000000"/>
          <w:sz w:val="24"/>
          <w:szCs w:val="24"/>
          <w:lang w:eastAsia="zh-CN"/>
        </w:rPr>
        <w:t>中标人</w:t>
      </w:r>
      <w:r>
        <w:rPr>
          <w:rFonts w:hint="eastAsia"/>
          <w:color w:val="000000"/>
          <w:sz w:val="24"/>
          <w:szCs w:val="24"/>
        </w:rPr>
        <w:t>提供的等额正式发票后</w:t>
      </w:r>
      <w:r>
        <w:rPr>
          <w:rFonts w:hint="eastAsia"/>
          <w:bCs/>
          <w:sz w:val="24"/>
          <w:szCs w:val="24"/>
          <w:u w:val="single"/>
        </w:rPr>
        <w:t xml:space="preserve"> 15</w:t>
      </w:r>
      <w:r>
        <w:rPr>
          <w:color w:val="000000"/>
          <w:sz w:val="24"/>
          <w:szCs w:val="24"/>
          <w:u w:val="single"/>
        </w:rPr>
        <w:t xml:space="preserve"> </w:t>
      </w:r>
      <w:r>
        <w:rPr>
          <w:rFonts w:hint="eastAsia"/>
          <w:color w:val="000000"/>
          <w:sz w:val="24"/>
          <w:szCs w:val="24"/>
        </w:rPr>
        <w:t>个工作日内支付。</w:t>
      </w:r>
    </w:p>
    <w:p>
      <w:pPr>
        <w:spacing w:line="360" w:lineRule="auto"/>
        <w:ind w:firstLine="480" w:firstLineChars="200"/>
        <w:rPr>
          <w:rFonts w:hint="eastAsia"/>
          <w:bCs/>
          <w:sz w:val="24"/>
          <w:szCs w:val="24"/>
        </w:rPr>
      </w:pPr>
      <w:r>
        <w:rPr>
          <w:rFonts w:hint="eastAsia"/>
          <w:bCs/>
          <w:sz w:val="24"/>
          <w:szCs w:val="24"/>
          <w:lang w:val="en-US" w:eastAsia="zh-CN"/>
        </w:rPr>
        <w:t>9</w:t>
      </w:r>
      <w:r>
        <w:rPr>
          <w:rFonts w:hint="eastAsia"/>
          <w:bCs/>
          <w:sz w:val="24"/>
          <w:szCs w:val="24"/>
        </w:rPr>
        <w:t>.违约处理：</w:t>
      </w:r>
    </w:p>
    <w:p>
      <w:pPr>
        <w:pStyle w:val="44"/>
        <w:spacing w:after="0" w:line="360" w:lineRule="auto"/>
        <w:ind w:firstLineChars="200"/>
        <w:rPr>
          <w:rFonts w:hint="eastAsia"/>
          <w:bCs/>
          <w:sz w:val="24"/>
          <w:szCs w:val="24"/>
          <w:lang w:val="en-US" w:eastAsia="zh-CN"/>
        </w:rPr>
      </w:pPr>
      <w:r>
        <w:rPr>
          <w:rFonts w:hint="eastAsia"/>
          <w:bCs/>
          <w:sz w:val="24"/>
          <w:szCs w:val="24"/>
          <w:lang w:val="en-US" w:eastAsia="zh-CN"/>
        </w:rPr>
        <w:t>9.1乙方未能交付本项目，则向甲方退还全部款项。</w:t>
      </w:r>
    </w:p>
    <w:p>
      <w:pPr>
        <w:pStyle w:val="44"/>
        <w:spacing w:after="0" w:line="360" w:lineRule="auto"/>
        <w:ind w:firstLineChars="200"/>
        <w:rPr>
          <w:rFonts w:hint="eastAsia"/>
          <w:bCs/>
          <w:sz w:val="24"/>
          <w:szCs w:val="24"/>
          <w:lang w:val="en-US" w:eastAsia="zh-CN"/>
        </w:rPr>
      </w:pPr>
      <w:r>
        <w:rPr>
          <w:rFonts w:hint="eastAsia"/>
          <w:bCs/>
          <w:sz w:val="24"/>
          <w:szCs w:val="24"/>
          <w:lang w:val="en-US" w:eastAsia="zh-CN"/>
        </w:rPr>
        <w:t>9.2乙方交付的货物及服务不符合本合同规定的，甲方有权拒收，乙方向向甲方退还全部款项。</w:t>
      </w:r>
    </w:p>
    <w:p>
      <w:pPr>
        <w:pStyle w:val="44"/>
        <w:spacing w:after="0" w:line="360" w:lineRule="auto"/>
        <w:ind w:firstLineChars="200"/>
        <w:rPr>
          <w:rFonts w:hint="eastAsia"/>
          <w:bCs/>
          <w:sz w:val="24"/>
          <w:szCs w:val="24"/>
          <w:lang w:val="en-US" w:eastAsia="zh-CN"/>
        </w:rPr>
      </w:pPr>
      <w:r>
        <w:rPr>
          <w:rFonts w:hint="eastAsia"/>
          <w:bCs/>
          <w:sz w:val="24"/>
          <w:szCs w:val="24"/>
          <w:lang w:val="en-US" w:eastAsia="zh-CN"/>
        </w:rPr>
        <w:t>9.3乙方无正当事由拒不按甲方要求时间开工，逾期达10天的，甲方有权终止合同，乙方须向甲方退还全部款项。</w:t>
      </w:r>
    </w:p>
    <w:p>
      <w:pPr>
        <w:pStyle w:val="44"/>
        <w:spacing w:after="0" w:line="360" w:lineRule="auto"/>
        <w:ind w:firstLineChars="200"/>
        <w:rPr>
          <w:rFonts w:hint="eastAsia"/>
          <w:bCs/>
          <w:sz w:val="24"/>
          <w:szCs w:val="24"/>
          <w:lang w:val="en-US" w:eastAsia="zh-CN"/>
        </w:rPr>
      </w:pPr>
      <w:r>
        <w:rPr>
          <w:rFonts w:hint="eastAsia"/>
          <w:bCs/>
          <w:sz w:val="24"/>
          <w:szCs w:val="24"/>
          <w:lang w:val="en-US" w:eastAsia="zh-CN"/>
        </w:rPr>
        <w:t>9.4乙方逾期交付，则每日按合同总额1%向甲方偿付违约金，违约金总额不超过合同总金额的20%。逾期交付超过30天，甲方有权终止合同，乙方仍须向甲方支付前述违约金并退还全部款项。</w:t>
      </w:r>
    </w:p>
    <w:p>
      <w:pPr>
        <w:pStyle w:val="44"/>
        <w:spacing w:after="0" w:line="360" w:lineRule="auto"/>
        <w:ind w:firstLineChars="200"/>
        <w:rPr>
          <w:rFonts w:hint="eastAsia"/>
          <w:bCs/>
          <w:sz w:val="24"/>
          <w:szCs w:val="24"/>
          <w:lang w:val="en-US" w:eastAsia="zh-CN"/>
        </w:rPr>
      </w:pPr>
      <w:r>
        <w:rPr>
          <w:rFonts w:hint="eastAsia"/>
          <w:bCs/>
          <w:sz w:val="24"/>
          <w:szCs w:val="24"/>
          <w:lang w:val="en-US" w:eastAsia="zh-CN"/>
        </w:rPr>
        <w:t>9.5乙方必须按甲方指定地点按时交货，货物不符合质量标准的，乙方必须按时负责调换至合格为止，并承担由此产生的实际费用。不能按时调换至合格者，按不能交付处理。</w:t>
      </w:r>
    </w:p>
    <w:p>
      <w:pPr>
        <w:pStyle w:val="44"/>
        <w:spacing w:after="0" w:line="360" w:lineRule="auto"/>
        <w:ind w:firstLineChars="200"/>
        <w:rPr>
          <w:rFonts w:hint="eastAsia" w:ascii="宋体" w:hAnsi="宋体"/>
          <w:sz w:val="24"/>
          <w:szCs w:val="24"/>
          <w:lang w:bidi="ar"/>
        </w:rPr>
      </w:pPr>
      <w:r>
        <w:rPr>
          <w:rFonts w:hint="eastAsia" w:ascii="宋体" w:hAnsi="宋体"/>
          <w:sz w:val="24"/>
          <w:szCs w:val="24"/>
          <w:lang w:val="en-US" w:eastAsia="zh-CN" w:bidi="ar"/>
        </w:rPr>
        <w:t>10</w:t>
      </w:r>
      <w:r>
        <w:rPr>
          <w:rFonts w:hint="eastAsia" w:ascii="宋体" w:hAnsi="宋体"/>
          <w:sz w:val="24"/>
          <w:szCs w:val="24"/>
          <w:lang w:bidi="ar"/>
        </w:rPr>
        <w:t>.售后服务：</w:t>
      </w:r>
    </w:p>
    <w:p>
      <w:pPr>
        <w:widowControl w:val="0"/>
        <w:numPr>
          <w:ilvl w:val="0"/>
          <w:numId w:val="0"/>
        </w:numPr>
        <w:spacing w:line="360" w:lineRule="auto"/>
        <w:ind w:firstLine="480" w:firstLineChars="200"/>
        <w:jc w:val="both"/>
        <w:outlineLvl w:val="1"/>
        <w:rPr>
          <w:bCs/>
          <w:sz w:val="24"/>
          <w:szCs w:val="24"/>
        </w:rPr>
      </w:pPr>
      <w:r>
        <w:rPr>
          <w:rFonts w:hint="eastAsia"/>
          <w:bCs/>
          <w:sz w:val="24"/>
          <w:szCs w:val="24"/>
          <w:lang w:val="en-US" w:eastAsia="zh-CN"/>
        </w:rPr>
        <w:t>10</w:t>
      </w:r>
      <w:r>
        <w:rPr>
          <w:rFonts w:hint="eastAsia"/>
          <w:bCs/>
          <w:sz w:val="24"/>
          <w:szCs w:val="24"/>
        </w:rPr>
        <w:t>.1 保修期限：</w:t>
      </w:r>
      <w:r>
        <w:rPr>
          <w:rFonts w:hint="eastAsia"/>
          <w:bCs/>
          <w:sz w:val="24"/>
          <w:szCs w:val="24"/>
          <w:lang w:val="en-US" w:eastAsia="zh-CN"/>
        </w:rPr>
        <w:t>中标人</w:t>
      </w:r>
      <w:r>
        <w:rPr>
          <w:rFonts w:hint="eastAsia"/>
          <w:bCs/>
          <w:sz w:val="24"/>
          <w:szCs w:val="24"/>
        </w:rPr>
        <w:t>承诺本合同项下货物的免费保修期为</w:t>
      </w:r>
      <w:r>
        <w:rPr>
          <w:rFonts w:hint="eastAsia"/>
          <w:bCs/>
          <w:sz w:val="24"/>
          <w:szCs w:val="24"/>
          <w:u w:val="single"/>
        </w:rPr>
        <w:t xml:space="preserve"> </w:t>
      </w:r>
      <w:r>
        <w:rPr>
          <w:rFonts w:hint="eastAsia"/>
          <w:bCs/>
          <w:sz w:val="24"/>
          <w:szCs w:val="24"/>
          <w:u w:val="single"/>
          <w:lang w:val="en-US" w:eastAsia="zh-CN"/>
        </w:rPr>
        <w:t>1</w:t>
      </w:r>
      <w:r>
        <w:rPr>
          <w:rFonts w:hint="eastAsia"/>
          <w:bCs/>
          <w:sz w:val="24"/>
          <w:szCs w:val="24"/>
        </w:rPr>
        <w:t>年，保修期限自货物通过</w:t>
      </w:r>
      <w:r>
        <w:rPr>
          <w:rFonts w:hint="eastAsia"/>
          <w:bCs/>
          <w:sz w:val="24"/>
          <w:szCs w:val="24"/>
          <w:lang w:eastAsia="zh-CN"/>
        </w:rPr>
        <w:t>采购人</w:t>
      </w:r>
      <w:r>
        <w:rPr>
          <w:rFonts w:hint="eastAsia"/>
          <w:bCs/>
          <w:sz w:val="24"/>
          <w:szCs w:val="24"/>
        </w:rPr>
        <w:t>组织的验收之日起算。</w:t>
      </w:r>
      <w:r>
        <w:rPr>
          <w:rFonts w:hint="eastAsia"/>
          <w:color w:val="000000"/>
          <w:sz w:val="24"/>
          <w:szCs w:val="24"/>
        </w:rPr>
        <w:t>在保修期内，如货物非因</w:t>
      </w:r>
      <w:r>
        <w:rPr>
          <w:rFonts w:hint="eastAsia"/>
          <w:color w:val="000000"/>
          <w:sz w:val="24"/>
          <w:szCs w:val="24"/>
          <w:lang w:eastAsia="zh-CN"/>
        </w:rPr>
        <w:t>采购人</w:t>
      </w:r>
      <w:r>
        <w:rPr>
          <w:rFonts w:hint="eastAsia"/>
          <w:color w:val="000000"/>
          <w:sz w:val="24"/>
          <w:szCs w:val="24"/>
        </w:rPr>
        <w:t>原因而出现的质量问题由</w:t>
      </w:r>
      <w:r>
        <w:rPr>
          <w:rFonts w:hint="eastAsia"/>
          <w:color w:val="000000"/>
          <w:sz w:val="24"/>
          <w:szCs w:val="24"/>
          <w:lang w:eastAsia="zh-CN"/>
        </w:rPr>
        <w:t>中标人</w:t>
      </w:r>
      <w:r>
        <w:rPr>
          <w:rFonts w:hint="eastAsia"/>
          <w:color w:val="000000"/>
          <w:sz w:val="24"/>
          <w:szCs w:val="24"/>
        </w:rPr>
        <w:t>负责保修、包换或包退，并承担修理、调换或退货的实际费用，并承担相应的违约责任。</w:t>
      </w:r>
    </w:p>
    <w:p>
      <w:pPr>
        <w:spacing w:line="360" w:lineRule="auto"/>
        <w:ind w:firstLine="480" w:firstLineChars="200"/>
        <w:rPr>
          <w:bCs/>
          <w:sz w:val="24"/>
          <w:szCs w:val="24"/>
        </w:rPr>
      </w:pPr>
      <w:r>
        <w:rPr>
          <w:rFonts w:hint="eastAsia"/>
          <w:bCs/>
          <w:sz w:val="24"/>
          <w:szCs w:val="24"/>
          <w:lang w:val="en-US" w:eastAsia="zh-CN"/>
        </w:rPr>
        <w:t>10</w:t>
      </w:r>
      <w:r>
        <w:rPr>
          <w:rFonts w:hint="eastAsia"/>
          <w:bCs/>
          <w:sz w:val="24"/>
          <w:szCs w:val="24"/>
        </w:rPr>
        <w:t>.2 保修方式：</w:t>
      </w:r>
      <w:r>
        <w:rPr>
          <w:rFonts w:hint="eastAsia"/>
          <w:bCs/>
          <w:sz w:val="24"/>
          <w:szCs w:val="24"/>
          <w:lang w:eastAsia="zh-CN"/>
        </w:rPr>
        <w:t>采购人</w:t>
      </w:r>
      <w:r>
        <w:rPr>
          <w:rFonts w:hint="eastAsia"/>
          <w:bCs/>
          <w:sz w:val="24"/>
          <w:szCs w:val="24"/>
        </w:rPr>
        <w:t>报修后，</w:t>
      </w:r>
      <w:r>
        <w:rPr>
          <w:rFonts w:hint="eastAsia"/>
          <w:bCs/>
          <w:sz w:val="24"/>
          <w:szCs w:val="24"/>
          <w:lang w:eastAsia="zh-CN"/>
        </w:rPr>
        <w:t>中标人</w:t>
      </w:r>
      <w:r>
        <w:rPr>
          <w:rFonts w:hint="eastAsia"/>
          <w:bCs/>
          <w:sz w:val="24"/>
          <w:szCs w:val="24"/>
        </w:rPr>
        <w:t>在工作日</w:t>
      </w:r>
      <w:r>
        <w:rPr>
          <w:rFonts w:hint="eastAsia"/>
          <w:bCs/>
          <w:sz w:val="24"/>
          <w:szCs w:val="24"/>
          <w:u w:val="single"/>
        </w:rPr>
        <w:t xml:space="preserve"> 4 </w:t>
      </w:r>
      <w:r>
        <w:rPr>
          <w:bCs/>
          <w:sz w:val="24"/>
          <w:szCs w:val="24"/>
        </w:rPr>
        <w:t>小时内给予响应</w:t>
      </w:r>
      <w:r>
        <w:rPr>
          <w:rFonts w:hint="eastAsia"/>
          <w:bCs/>
          <w:sz w:val="24"/>
          <w:szCs w:val="24"/>
        </w:rPr>
        <w:t>并到</w:t>
      </w:r>
      <w:r>
        <w:rPr>
          <w:bCs/>
          <w:sz w:val="24"/>
          <w:szCs w:val="24"/>
        </w:rPr>
        <w:t>达现场</w:t>
      </w:r>
      <w:r>
        <w:rPr>
          <w:rFonts w:hint="eastAsia"/>
          <w:bCs/>
          <w:sz w:val="24"/>
          <w:szCs w:val="24"/>
        </w:rPr>
        <w:t>处理。</w:t>
      </w:r>
      <w:r>
        <w:rPr>
          <w:rFonts w:hint="eastAsia"/>
          <w:bCs/>
          <w:sz w:val="24"/>
          <w:szCs w:val="24"/>
          <w:lang w:val="en-US" w:eastAsia="zh-CN"/>
        </w:rPr>
        <w:t>3</w:t>
      </w:r>
      <w:r>
        <w:rPr>
          <w:rFonts w:hint="eastAsia"/>
          <w:bCs/>
          <w:sz w:val="24"/>
          <w:szCs w:val="24"/>
        </w:rPr>
        <w:t>天</w:t>
      </w:r>
      <w:r>
        <w:rPr>
          <w:bCs/>
          <w:sz w:val="24"/>
          <w:szCs w:val="24"/>
        </w:rPr>
        <w:t>内对出现质量问题的货物进行免费维修和更换属质量原因造成的零部件损坏。如</w:t>
      </w:r>
      <w:r>
        <w:rPr>
          <w:rFonts w:hint="eastAsia"/>
          <w:bCs/>
          <w:sz w:val="24"/>
          <w:szCs w:val="24"/>
        </w:rPr>
        <w:t>上门</w:t>
      </w:r>
      <w:r>
        <w:rPr>
          <w:rFonts w:hint="eastAsia"/>
          <w:bCs/>
          <w:sz w:val="24"/>
          <w:szCs w:val="24"/>
          <w:u w:val="single"/>
        </w:rPr>
        <w:t xml:space="preserve"> 24 </w:t>
      </w:r>
      <w:r>
        <w:rPr>
          <w:bCs/>
          <w:sz w:val="24"/>
          <w:szCs w:val="24"/>
        </w:rPr>
        <w:t>小时</w:t>
      </w:r>
      <w:r>
        <w:rPr>
          <w:rFonts w:hint="eastAsia"/>
          <w:bCs/>
          <w:sz w:val="24"/>
          <w:szCs w:val="24"/>
        </w:rPr>
        <w:t>内</w:t>
      </w:r>
      <w:r>
        <w:rPr>
          <w:bCs/>
          <w:sz w:val="24"/>
          <w:szCs w:val="24"/>
        </w:rPr>
        <w:t>未能解决故障问题，在</w:t>
      </w:r>
      <w:r>
        <w:rPr>
          <w:rFonts w:hint="eastAsia"/>
          <w:bCs/>
          <w:sz w:val="24"/>
          <w:szCs w:val="24"/>
          <w:u w:val="single"/>
        </w:rPr>
        <w:t xml:space="preserve"> </w:t>
      </w:r>
      <w:r>
        <w:rPr>
          <w:rFonts w:hint="eastAsia"/>
          <w:bCs/>
          <w:sz w:val="24"/>
          <w:szCs w:val="24"/>
          <w:u w:val="single"/>
          <w:lang w:val="en-US" w:eastAsia="zh-CN"/>
        </w:rPr>
        <w:t>2</w:t>
      </w:r>
      <w:r>
        <w:rPr>
          <w:rFonts w:hint="eastAsia"/>
          <w:bCs/>
          <w:sz w:val="24"/>
          <w:szCs w:val="24"/>
          <w:u w:val="single"/>
        </w:rPr>
        <w:t xml:space="preserve"> </w:t>
      </w:r>
      <w:r>
        <w:rPr>
          <w:rFonts w:hint="eastAsia"/>
          <w:bCs/>
          <w:sz w:val="24"/>
          <w:szCs w:val="24"/>
        </w:rPr>
        <w:t>个工作日</w:t>
      </w:r>
      <w:r>
        <w:rPr>
          <w:bCs/>
          <w:sz w:val="24"/>
          <w:szCs w:val="24"/>
        </w:rPr>
        <w:t>内提供备用产品</w:t>
      </w:r>
      <w:r>
        <w:rPr>
          <w:rFonts w:hint="eastAsia"/>
          <w:bCs/>
          <w:sz w:val="24"/>
          <w:szCs w:val="24"/>
        </w:rPr>
        <w:t>，</w:t>
      </w:r>
      <w:r>
        <w:rPr>
          <w:bCs/>
          <w:sz w:val="24"/>
          <w:szCs w:val="24"/>
        </w:rPr>
        <w:t>供应商应</w:t>
      </w:r>
      <w:r>
        <w:rPr>
          <w:rFonts w:hint="eastAsia"/>
          <w:bCs/>
          <w:sz w:val="24"/>
          <w:szCs w:val="24"/>
        </w:rPr>
        <w:t>培训客户相关人员正确操作和维护系统的方法，</w:t>
      </w:r>
      <w:r>
        <w:rPr>
          <w:bCs/>
          <w:sz w:val="24"/>
          <w:szCs w:val="24"/>
        </w:rPr>
        <w:t>全程提供技术支持</w:t>
      </w:r>
      <w:r>
        <w:rPr>
          <w:rFonts w:hint="eastAsia"/>
          <w:bCs/>
          <w:sz w:val="24"/>
          <w:szCs w:val="24"/>
        </w:rPr>
        <w:t>。供应商应在系统设计、安装过程中提供专业的技术指导和建议，对客户在使用过程中遇到的技术问题及时解答和处理。其他条款以采购文件承诺的为准。</w:t>
      </w:r>
    </w:p>
    <w:p>
      <w:pPr>
        <w:spacing w:line="360" w:lineRule="auto"/>
        <w:ind w:firstLine="480" w:firstLineChars="200"/>
        <w:rPr>
          <w:rFonts w:hint="eastAsia"/>
          <w:bCs/>
          <w:sz w:val="24"/>
          <w:szCs w:val="24"/>
        </w:rPr>
      </w:pPr>
      <w:r>
        <w:rPr>
          <w:rFonts w:hint="eastAsia"/>
          <w:bCs/>
          <w:sz w:val="24"/>
          <w:szCs w:val="24"/>
          <w:lang w:val="en-US" w:eastAsia="zh-CN"/>
        </w:rPr>
        <w:t>10</w:t>
      </w:r>
      <w:r>
        <w:rPr>
          <w:rFonts w:hint="eastAsia"/>
          <w:bCs/>
          <w:sz w:val="24"/>
          <w:szCs w:val="24"/>
        </w:rPr>
        <w:t>.3 免费保修期届满后，如</w:t>
      </w:r>
      <w:r>
        <w:rPr>
          <w:rFonts w:hint="eastAsia"/>
          <w:bCs/>
          <w:sz w:val="24"/>
          <w:szCs w:val="24"/>
          <w:lang w:eastAsia="zh-CN"/>
        </w:rPr>
        <w:t>采购人</w:t>
      </w:r>
      <w:r>
        <w:rPr>
          <w:rFonts w:hint="eastAsia"/>
          <w:bCs/>
          <w:sz w:val="24"/>
          <w:szCs w:val="24"/>
        </w:rPr>
        <w:t>需要</w:t>
      </w:r>
      <w:r>
        <w:rPr>
          <w:rFonts w:hint="eastAsia"/>
          <w:bCs/>
          <w:sz w:val="24"/>
          <w:szCs w:val="24"/>
          <w:lang w:eastAsia="zh-CN"/>
        </w:rPr>
        <w:t>中标人</w:t>
      </w:r>
      <w:r>
        <w:rPr>
          <w:rFonts w:hint="eastAsia"/>
          <w:bCs/>
          <w:sz w:val="24"/>
          <w:szCs w:val="24"/>
        </w:rPr>
        <w:t>继续提供维护服务，由甲乙双方另行协商。（由</w:t>
      </w:r>
      <w:r>
        <w:rPr>
          <w:rFonts w:hint="eastAsia"/>
          <w:bCs/>
          <w:sz w:val="24"/>
          <w:szCs w:val="24"/>
          <w:lang w:eastAsia="zh-CN"/>
        </w:rPr>
        <w:t>采购人</w:t>
      </w:r>
      <w:r>
        <w:rPr>
          <w:rFonts w:hint="eastAsia"/>
          <w:bCs/>
          <w:sz w:val="24"/>
          <w:szCs w:val="24"/>
        </w:rPr>
        <w:t>用户与</w:t>
      </w:r>
      <w:r>
        <w:rPr>
          <w:rFonts w:hint="eastAsia"/>
          <w:bCs/>
          <w:sz w:val="24"/>
          <w:szCs w:val="24"/>
          <w:lang w:eastAsia="zh-CN"/>
        </w:rPr>
        <w:t>中标人</w:t>
      </w:r>
      <w:r>
        <w:rPr>
          <w:rFonts w:hint="eastAsia"/>
          <w:bCs/>
          <w:sz w:val="24"/>
          <w:szCs w:val="24"/>
        </w:rPr>
        <w:t>商量后确定是否保留此条目，并列明具体的条件）</w:t>
      </w:r>
    </w:p>
    <w:p>
      <w:pPr>
        <w:spacing w:line="360" w:lineRule="auto"/>
        <w:ind w:firstLine="480" w:firstLineChars="200"/>
        <w:rPr>
          <w:rFonts w:hint="eastAsia"/>
          <w:bCs/>
          <w:sz w:val="24"/>
          <w:szCs w:val="24"/>
        </w:rPr>
      </w:pPr>
    </w:p>
    <w:p>
      <w:pPr>
        <w:pStyle w:val="44"/>
        <w:spacing w:after="0" w:line="360" w:lineRule="auto"/>
        <w:ind w:firstLine="0" w:firstLineChars="0"/>
        <w:rPr>
          <w:rFonts w:hint="eastAsia" w:ascii="宋体" w:hAnsi="宋体"/>
          <w:lang w:bidi="ar"/>
        </w:rPr>
      </w:pPr>
    </w:p>
    <w:p>
      <w:pPr>
        <w:spacing w:line="360" w:lineRule="auto"/>
        <w:ind w:firstLine="482" w:firstLineChars="200"/>
        <w:rPr>
          <w:rFonts w:hint="eastAsia"/>
          <w:bCs/>
          <w:sz w:val="21"/>
          <w:szCs w:val="28"/>
          <w:lang w:eastAsia="zh-CN"/>
        </w:rPr>
      </w:pPr>
      <w:r>
        <w:rPr>
          <w:rFonts w:hint="eastAsia" w:ascii="宋体" w:hAnsi="宋体"/>
          <w:b/>
          <w:sz w:val="24"/>
          <w:lang w:bidi="ar"/>
        </w:rPr>
        <w:t xml:space="preserve">                      </w:t>
      </w:r>
      <w:bookmarkEnd w:id="0"/>
      <w:bookmarkEnd w:id="1"/>
      <w:bookmarkEnd w:id="2"/>
    </w:p>
    <w:sectPr>
      <w:headerReference r:id="rId6" w:type="first"/>
      <w:footerReference r:id="rId8" w:type="first"/>
      <w:headerReference r:id="rId5" w:type="default"/>
      <w:footerReference r:id="rId7" w:type="default"/>
      <w:pgSz w:w="11906" w:h="16838"/>
      <w:pgMar w:top="1109" w:right="1797" w:bottom="1440" w:left="1797" w:header="568" w:footer="992" w:gutter="0"/>
      <w:paperSrc w:first="7"/>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幼圆">
    <w:panose1 w:val="02010509060101010101"/>
    <w:charset w:val="86"/>
    <w:family w:val="modern"/>
    <w:pitch w:val="default"/>
    <w:sig w:usb0="00000001" w:usb1="080E0000" w:usb2="00000000" w:usb3="00000000" w:csb0="00040000" w:csb1="00000000"/>
  </w:font>
  <w:font w:name="仿宋体">
    <w:altName w:val="仿宋"/>
    <w:panose1 w:val="00000000000000000000"/>
    <w:charset w:val="86"/>
    <w:family w:val="roman"/>
    <w:pitch w:val="default"/>
    <w:sig w:usb0="00000000" w:usb1="00000000" w:usb2="00000010" w:usb3="00000000" w:csb0="00040000" w:csb1="00000000"/>
  </w:font>
  <w:font w:name="文鼎CS中黑">
    <w:altName w:val="黑体"/>
    <w:panose1 w:val="00000000000000000000"/>
    <w:charset w:val="86"/>
    <w:family w:val="roma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宋体+Times">
    <w:altName w:val="黑体"/>
    <w:panose1 w:val="00000000000000000000"/>
    <w:charset w:val="86"/>
    <w:family w:val="auto"/>
    <w:pitch w:val="default"/>
    <w:sig w:usb0="00000000" w:usb1="00000000" w:usb2="00000010" w:usb3="00000000" w:csb0="00040000"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top w:val="single" w:color="auto" w:sz="4" w:space="1"/>
      </w:pBd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top w:val="single" w:color="auto" w:sz="4" w:space="1"/>
      </w:pBd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single" w:color="auto" w:sz="4"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58E016"/>
    <w:multiLevelType w:val="singleLevel"/>
    <w:tmpl w:val="B158E016"/>
    <w:lvl w:ilvl="0" w:tentative="0">
      <w:start w:val="1"/>
      <w:numFmt w:val="decimal"/>
      <w:suff w:val="nothing"/>
      <w:lvlText w:val="（%1）"/>
      <w:lvlJc w:val="left"/>
    </w:lvl>
  </w:abstractNum>
  <w:abstractNum w:abstractNumId="1">
    <w:nsid w:val="B20A3184"/>
    <w:multiLevelType w:val="singleLevel"/>
    <w:tmpl w:val="B20A3184"/>
    <w:lvl w:ilvl="0" w:tentative="0">
      <w:start w:val="1"/>
      <w:numFmt w:val="chineseCounting"/>
      <w:suff w:val="nothing"/>
      <w:lvlText w:val="%1、"/>
      <w:lvlJc w:val="left"/>
      <w:rPr>
        <w:rFonts w:hint="eastAsia"/>
      </w:rPr>
    </w:lvl>
  </w:abstractNum>
  <w:abstractNum w:abstractNumId="2">
    <w:nsid w:val="0000000D"/>
    <w:multiLevelType w:val="multilevel"/>
    <w:tmpl w:val="0000000D"/>
    <w:lvl w:ilvl="0" w:tentative="0">
      <w:start w:val="1"/>
      <w:numFmt w:val="decimal"/>
      <w:lvlText w:val="%1."/>
      <w:lvlJc w:val="left"/>
      <w:pPr>
        <w:tabs>
          <w:tab w:val="left" w:pos="360"/>
        </w:tabs>
        <w:ind w:left="360" w:hanging="360"/>
      </w:pPr>
      <w:rPr>
        <w:rFonts w:hint="eastAsia" w:hAnsi="Times New Roman"/>
        <w:color w:val="000000"/>
      </w:rPr>
    </w:lvl>
    <w:lvl w:ilvl="1" w:tentative="0">
      <w:start w:val="1"/>
      <w:numFmt w:val="decimal"/>
      <w:pStyle w:val="192"/>
      <w:lvlText w:val="%1.%2."/>
      <w:lvlJc w:val="left"/>
      <w:pPr>
        <w:tabs>
          <w:tab w:val="left" w:pos="720"/>
        </w:tabs>
        <w:ind w:left="720" w:hanging="720"/>
      </w:pPr>
      <w:rPr>
        <w:rFonts w:hint="eastAsia" w:hAnsi="Times New Roman"/>
        <w:color w:val="000000"/>
      </w:rPr>
    </w:lvl>
    <w:lvl w:ilvl="2" w:tentative="0">
      <w:start w:val="1"/>
      <w:numFmt w:val="decimal"/>
      <w:pStyle w:val="150"/>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800"/>
        </w:tabs>
        <w:ind w:left="1800" w:hanging="180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2160"/>
        </w:tabs>
        <w:ind w:left="2160" w:hanging="2160"/>
      </w:pPr>
      <w:rPr>
        <w:rFonts w:hint="eastAsia" w:hAnsi="Times New Roman"/>
        <w:color w:val="000000"/>
      </w:rPr>
    </w:lvl>
  </w:abstractNum>
  <w:abstractNum w:abstractNumId="3">
    <w:nsid w:val="04DD33B9"/>
    <w:multiLevelType w:val="singleLevel"/>
    <w:tmpl w:val="04DD33B9"/>
    <w:lvl w:ilvl="0" w:tentative="0">
      <w:start w:val="1"/>
      <w:numFmt w:val="decimal"/>
      <w:pStyle w:val="15"/>
      <w:suff w:val="nothing"/>
      <w:lvlText w:val="%1、"/>
      <w:lvlJc w:val="left"/>
      <w:rPr>
        <w:rFonts w:ascii="宋体" w:hAnsi="宋体" w:eastAsia="宋体" w:cs="宋体"/>
      </w:rPr>
    </w:lvl>
  </w:abstractNum>
  <w:abstractNum w:abstractNumId="4">
    <w:nsid w:val="13DBA24A"/>
    <w:multiLevelType w:val="singleLevel"/>
    <w:tmpl w:val="13DBA24A"/>
    <w:lvl w:ilvl="0" w:tentative="0">
      <w:start w:val="1"/>
      <w:numFmt w:val="decimal"/>
      <w:suff w:val="nothing"/>
      <w:lvlText w:val="%1、"/>
      <w:lvlJc w:val="left"/>
      <w:pPr>
        <w:ind w:left="525" w:firstLine="0"/>
      </w:pPr>
    </w:lvl>
  </w:abstractNum>
  <w:abstractNum w:abstractNumId="5">
    <w:nsid w:val="52BC4F39"/>
    <w:multiLevelType w:val="multilevel"/>
    <w:tmpl w:val="52BC4F39"/>
    <w:lvl w:ilvl="0" w:tentative="0">
      <w:start w:val="1"/>
      <w:numFmt w:val="bullet"/>
      <w:pStyle w:val="241"/>
      <w:lvlText w:val=""/>
      <w:lvlJc w:val="left"/>
      <w:pPr>
        <w:tabs>
          <w:tab w:val="left" w:pos="661"/>
        </w:tabs>
        <w:ind w:left="661" w:hanging="420"/>
      </w:pPr>
      <w:rPr>
        <w:rFonts w:hint="default" w:ascii="Wingdings" w:hAnsi="Wingdings" w:cs="Wingdings"/>
      </w:rPr>
    </w:lvl>
    <w:lvl w:ilvl="1" w:tentative="0">
      <w:start w:val="1"/>
      <w:numFmt w:val="bullet"/>
      <w:lvlText w:val=""/>
      <w:lvlJc w:val="left"/>
      <w:pPr>
        <w:tabs>
          <w:tab w:val="left" w:pos="1081"/>
        </w:tabs>
        <w:ind w:left="1081" w:hanging="420"/>
      </w:pPr>
      <w:rPr>
        <w:rFonts w:hint="default" w:ascii="Wingdings" w:hAnsi="Wingdings" w:cs="Wingdings"/>
      </w:rPr>
    </w:lvl>
    <w:lvl w:ilvl="2" w:tentative="0">
      <w:start w:val="1"/>
      <w:numFmt w:val="bullet"/>
      <w:lvlText w:val=""/>
      <w:lvlJc w:val="left"/>
      <w:pPr>
        <w:tabs>
          <w:tab w:val="left" w:pos="1501"/>
        </w:tabs>
        <w:ind w:left="1501" w:hanging="420"/>
      </w:pPr>
      <w:rPr>
        <w:rFonts w:hint="default" w:ascii="Wingdings" w:hAnsi="Wingdings" w:cs="Wingdings"/>
      </w:rPr>
    </w:lvl>
    <w:lvl w:ilvl="3" w:tentative="0">
      <w:start w:val="1"/>
      <w:numFmt w:val="bullet"/>
      <w:lvlText w:val=""/>
      <w:lvlJc w:val="left"/>
      <w:pPr>
        <w:tabs>
          <w:tab w:val="left" w:pos="1921"/>
        </w:tabs>
        <w:ind w:left="1921" w:hanging="420"/>
      </w:pPr>
      <w:rPr>
        <w:rFonts w:hint="default" w:ascii="Wingdings" w:hAnsi="Wingdings" w:cs="Wingdings"/>
      </w:rPr>
    </w:lvl>
    <w:lvl w:ilvl="4" w:tentative="0">
      <w:start w:val="1"/>
      <w:numFmt w:val="bullet"/>
      <w:lvlText w:val=""/>
      <w:lvlJc w:val="left"/>
      <w:pPr>
        <w:tabs>
          <w:tab w:val="left" w:pos="2341"/>
        </w:tabs>
        <w:ind w:left="2341" w:hanging="420"/>
      </w:pPr>
      <w:rPr>
        <w:rFonts w:hint="default" w:ascii="Wingdings" w:hAnsi="Wingdings" w:cs="Wingdings"/>
      </w:rPr>
    </w:lvl>
    <w:lvl w:ilvl="5" w:tentative="0">
      <w:start w:val="1"/>
      <w:numFmt w:val="bullet"/>
      <w:lvlText w:val=""/>
      <w:lvlJc w:val="left"/>
      <w:pPr>
        <w:tabs>
          <w:tab w:val="left" w:pos="2761"/>
        </w:tabs>
        <w:ind w:left="2761" w:hanging="420"/>
      </w:pPr>
      <w:rPr>
        <w:rFonts w:hint="default" w:ascii="Wingdings" w:hAnsi="Wingdings" w:cs="Wingdings"/>
      </w:rPr>
    </w:lvl>
    <w:lvl w:ilvl="6" w:tentative="0">
      <w:start w:val="1"/>
      <w:numFmt w:val="bullet"/>
      <w:lvlText w:val=""/>
      <w:lvlJc w:val="left"/>
      <w:pPr>
        <w:tabs>
          <w:tab w:val="left" w:pos="3181"/>
        </w:tabs>
        <w:ind w:left="3181" w:hanging="420"/>
      </w:pPr>
      <w:rPr>
        <w:rFonts w:hint="default" w:ascii="Wingdings" w:hAnsi="Wingdings" w:cs="Wingdings"/>
      </w:rPr>
    </w:lvl>
    <w:lvl w:ilvl="7" w:tentative="0">
      <w:start w:val="1"/>
      <w:numFmt w:val="bullet"/>
      <w:lvlText w:val=""/>
      <w:lvlJc w:val="left"/>
      <w:pPr>
        <w:tabs>
          <w:tab w:val="left" w:pos="3601"/>
        </w:tabs>
        <w:ind w:left="3601" w:hanging="420"/>
      </w:pPr>
      <w:rPr>
        <w:rFonts w:hint="default" w:ascii="Wingdings" w:hAnsi="Wingdings" w:cs="Wingdings"/>
      </w:rPr>
    </w:lvl>
    <w:lvl w:ilvl="8" w:tentative="0">
      <w:start w:val="1"/>
      <w:numFmt w:val="bullet"/>
      <w:lvlText w:val=""/>
      <w:lvlJc w:val="left"/>
      <w:pPr>
        <w:tabs>
          <w:tab w:val="left" w:pos="4021"/>
        </w:tabs>
        <w:ind w:left="4021" w:hanging="420"/>
      </w:pPr>
      <w:rPr>
        <w:rFonts w:hint="default" w:ascii="Wingdings" w:hAnsi="Wingdings" w:cs="Wingdings"/>
      </w:r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